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C0" w:rsidRPr="00190F31" w:rsidRDefault="005F5FC0" w:rsidP="005F5FC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C0C">
        <w:rPr>
          <w:rFonts w:ascii="Times New Roman" w:hAnsi="Times New Roman" w:cs="Times New Roman"/>
          <w:b/>
          <w:i/>
          <w:sz w:val="24"/>
          <w:szCs w:val="24"/>
        </w:rPr>
        <w:t>Supplementary Information</w:t>
      </w:r>
    </w:p>
    <w:p w:rsidR="005F5FC0" w:rsidRDefault="005F5FC0" w:rsidP="005F5FC0">
      <w:pPr>
        <w:rPr>
          <w:rFonts w:ascii="Times New Roman" w:hAnsi="Times New Roman" w:cs="Times New Roman"/>
          <w:sz w:val="24"/>
          <w:szCs w:val="24"/>
        </w:rPr>
      </w:pPr>
      <w:r w:rsidRPr="00156EFF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: Repeat tests between the replica and artefact tool sets in support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Kruskal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-Wallis tests performed in the main text.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Kruskal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-Wallis tests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presented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here that use equal sample sizes between the assemblages. Both assemblages in the 2D samples have 540 tools, while both tool-sets in the 3D analysis have 371.  Mann-Whitney U tests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also presented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using both the original samples sizes and the new adjusted equal samples. In all instances shape differences are significant (α = .05).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2576"/>
        <w:gridCol w:w="1288"/>
        <w:gridCol w:w="2576"/>
      </w:tblGrid>
      <w:tr w:rsidR="005F5FC0" w:rsidTr="009478E3">
        <w:tc>
          <w:tcPr>
            <w:tcW w:w="9016" w:type="dxa"/>
            <w:gridSpan w:val="5"/>
          </w:tcPr>
          <w:p w:rsidR="005F5FC0" w:rsidRPr="00446FB7" w:rsidRDefault="005F5FC0" w:rsidP="0094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FB7">
              <w:rPr>
                <w:rFonts w:ascii="Times New Roman" w:hAnsi="Times New Roman" w:cs="Times New Roman"/>
                <w:b/>
                <w:sz w:val="24"/>
                <w:szCs w:val="24"/>
              </w:rPr>
              <w:t>Mann Whitney-</w:t>
            </w:r>
            <w:r w:rsidRPr="00446F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</w:t>
            </w:r>
          </w:p>
        </w:tc>
      </w:tr>
      <w:tr w:rsidR="005F5FC0" w:rsidTr="009478E3">
        <w:tc>
          <w:tcPr>
            <w:tcW w:w="1288" w:type="dxa"/>
            <w:vMerge w:val="restart"/>
          </w:tcPr>
          <w:p w:rsidR="005F5FC0" w:rsidRPr="00401457" w:rsidRDefault="005F5FC0" w:rsidP="0094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57">
              <w:rPr>
                <w:rFonts w:ascii="Times New Roman" w:hAnsi="Times New Roman" w:cs="Times New Roman"/>
                <w:b/>
                <w:sz w:val="24"/>
                <w:szCs w:val="24"/>
              </w:rPr>
              <w:t>Sample</w:t>
            </w:r>
          </w:p>
        </w:tc>
        <w:tc>
          <w:tcPr>
            <w:tcW w:w="3864" w:type="dxa"/>
            <w:gridSpan w:val="2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3864" w:type="dxa"/>
            <w:gridSpan w:val="2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</w:t>
            </w:r>
          </w:p>
        </w:tc>
      </w:tr>
      <w:tr w:rsidR="005F5FC0" w:rsidTr="009478E3">
        <w:tc>
          <w:tcPr>
            <w:tcW w:w="1288" w:type="dxa"/>
            <w:vMerge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PC1</w:t>
            </w:r>
          </w:p>
        </w:tc>
        <w:tc>
          <w:tcPr>
            <w:tcW w:w="2576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PC2</w:t>
            </w:r>
          </w:p>
        </w:tc>
        <w:tc>
          <w:tcPr>
            <w:tcW w:w="1288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PC1</w:t>
            </w:r>
          </w:p>
        </w:tc>
        <w:tc>
          <w:tcPr>
            <w:tcW w:w="2576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PC2</w:t>
            </w:r>
          </w:p>
        </w:tc>
      </w:tr>
      <w:tr w:rsidR="005F5FC0" w:rsidTr="009478E3">
        <w:tc>
          <w:tcPr>
            <w:tcW w:w="1288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</w:p>
        </w:tc>
        <w:tc>
          <w:tcPr>
            <w:tcW w:w="1288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&lt;.0001</w:t>
            </w:r>
          </w:p>
        </w:tc>
        <w:tc>
          <w:tcPr>
            <w:tcW w:w="2576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&lt;.0001</w:t>
            </w:r>
          </w:p>
        </w:tc>
        <w:tc>
          <w:tcPr>
            <w:tcW w:w="1288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&lt;.0001</w:t>
            </w:r>
          </w:p>
        </w:tc>
        <w:tc>
          <w:tcPr>
            <w:tcW w:w="2576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&lt;.0001</w:t>
            </w:r>
          </w:p>
        </w:tc>
      </w:tr>
      <w:tr w:rsidR="005F5FC0" w:rsidTr="009478E3">
        <w:tc>
          <w:tcPr>
            <w:tcW w:w="1288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Equal</w:t>
            </w:r>
          </w:p>
        </w:tc>
        <w:tc>
          <w:tcPr>
            <w:tcW w:w="1288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&lt;.0001</w:t>
            </w:r>
          </w:p>
        </w:tc>
        <w:tc>
          <w:tcPr>
            <w:tcW w:w="2576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&lt;.0001</w:t>
            </w:r>
          </w:p>
        </w:tc>
        <w:tc>
          <w:tcPr>
            <w:tcW w:w="1288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&lt;.0001</w:t>
            </w:r>
          </w:p>
        </w:tc>
        <w:tc>
          <w:tcPr>
            <w:tcW w:w="2576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&lt;.0001</w:t>
            </w:r>
          </w:p>
        </w:tc>
      </w:tr>
      <w:tr w:rsidR="005F5FC0" w:rsidTr="009478E3">
        <w:tc>
          <w:tcPr>
            <w:tcW w:w="9016" w:type="dxa"/>
            <w:gridSpan w:val="5"/>
          </w:tcPr>
          <w:p w:rsidR="005F5FC0" w:rsidRPr="00446FB7" w:rsidRDefault="005F5FC0" w:rsidP="00947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6FB7">
              <w:rPr>
                <w:rFonts w:ascii="Times New Roman" w:hAnsi="Times New Roman" w:cs="Times New Roman"/>
                <w:b/>
                <w:sz w:val="24"/>
                <w:szCs w:val="24"/>
              </w:rPr>
              <w:t>Kruskal</w:t>
            </w:r>
            <w:proofErr w:type="spellEnd"/>
            <w:r w:rsidRPr="00446FB7">
              <w:rPr>
                <w:rFonts w:ascii="Times New Roman" w:hAnsi="Times New Roman" w:cs="Times New Roman"/>
                <w:b/>
                <w:sz w:val="24"/>
                <w:szCs w:val="24"/>
              </w:rPr>
              <w:t>-Wallis</w:t>
            </w:r>
          </w:p>
        </w:tc>
      </w:tr>
      <w:tr w:rsidR="005F5FC0" w:rsidTr="009478E3">
        <w:tc>
          <w:tcPr>
            <w:tcW w:w="1288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Equal</w:t>
            </w:r>
          </w:p>
        </w:tc>
        <w:tc>
          <w:tcPr>
            <w:tcW w:w="1288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.0002</w:t>
            </w:r>
          </w:p>
        </w:tc>
        <w:tc>
          <w:tcPr>
            <w:tcW w:w="2576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&lt;.0001</w:t>
            </w:r>
          </w:p>
        </w:tc>
        <w:tc>
          <w:tcPr>
            <w:tcW w:w="1288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&lt;.0001</w:t>
            </w:r>
          </w:p>
        </w:tc>
        <w:tc>
          <w:tcPr>
            <w:tcW w:w="2576" w:type="dxa"/>
          </w:tcPr>
          <w:p w:rsidR="005F5FC0" w:rsidRDefault="005F5FC0" w:rsidP="00947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&lt;.0001</w:t>
            </w:r>
          </w:p>
        </w:tc>
      </w:tr>
    </w:tbl>
    <w:p w:rsidR="005F5FC0" w:rsidRDefault="005F5FC0" w:rsidP="005F5FC0">
      <w:pPr>
        <w:rPr>
          <w:rFonts w:ascii="Times New Roman" w:hAnsi="Times New Roman" w:cs="Times New Roman"/>
          <w:sz w:val="24"/>
          <w:szCs w:val="24"/>
        </w:rPr>
      </w:pPr>
    </w:p>
    <w:p w:rsidR="005F5FC0" w:rsidRDefault="005F5FC0" w:rsidP="005F5FC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5FC0"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2640378" cy="7080250"/>
            <wp:effectExtent l="0" t="0" r="7620" b="6350"/>
            <wp:docPr id="1" name="Picture 1" descr="E:\Research &amp; Publications\In Review\Shape variation - with 500\CRP Submission\Revised version\Figures\Supplementary\Sup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esearch &amp; Publications\In Review\Shape variation - with 500\CRP Submission\Revised version\Figures\Supplementary\Sup Fin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330" cy="713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756" w:rsidRPr="005F5FC0" w:rsidRDefault="005F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Figure 1</w:t>
      </w:r>
      <w:r>
        <w:rPr>
          <w:rFonts w:ascii="Times New Roman" w:hAnsi="Times New Roman" w:cs="Times New Roman"/>
          <w:sz w:val="24"/>
          <w:szCs w:val="24"/>
        </w:rPr>
        <w:t xml:space="preserve">: Plots detailing the 2D shape space overlap between the replica and artefact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handaxes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using only the tool assemblages also used in the 3D analyses. PC1 </w:t>
      </w:r>
      <w:proofErr w:type="gramStart"/>
      <w:r>
        <w:rPr>
          <w:rFonts w:ascii="Times New Roman" w:hAnsi="Times New Roman" w:cs="Times New Roman"/>
          <w:sz w:val="24"/>
          <w:szCs w:val="24"/>
        </w:rPr>
        <w:t>is plotted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against PC2. To produce this data, a new principal component analysis </w:t>
      </w:r>
      <w:proofErr w:type="gramStart"/>
      <w:r>
        <w:rPr>
          <w:rFonts w:ascii="Times New Roman" w:hAnsi="Times New Roman" w:cs="Times New Roman"/>
          <w:sz w:val="24"/>
          <w:szCs w:val="24"/>
        </w:rPr>
        <w:t>was run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using only 2D shape data from this more limited number of tool assemblages.  Plot A depicts the shape space of all individual assemblages in the analysis, as highlighted by their independent convex hulls. Plot B illustrates the convex hulls of each grouped sample (replica tools and artefacts). Plot C depicts the 95% confidence ellipse of each grouped sample. Despite the more limited number of artefacts used, similarities in shape space between the two </w:t>
      </w:r>
      <w:proofErr w:type="gramStart"/>
      <w:r>
        <w:rPr>
          <w:rFonts w:ascii="Times New Roman" w:hAnsi="Times New Roman" w:cs="Times New Roman"/>
          <w:sz w:val="24"/>
          <w:szCs w:val="24"/>
        </w:rPr>
        <w:t>tool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types are similar to the 2D analyses performed in the main results sections.  </w:t>
      </w:r>
      <w:bookmarkStart w:id="0" w:name="_GoBack"/>
      <w:bookmarkEnd w:id="0"/>
    </w:p>
    <w:sectPr w:rsidR="00E65756" w:rsidRPr="005F5FC0" w:rsidSect="00E8760A">
      <w:footerReference w:type="default" r:id="rId5"/>
      <w:footerReference w:type="first" r:id="rId6"/>
      <w:pgSz w:w="11906" w:h="16838" w:code="9"/>
      <w:pgMar w:top="1440" w:right="1440" w:bottom="709" w:left="1440" w:header="709" w:footer="403" w:gutter="0"/>
      <w:lnNumType w:countBy="1" w:restart="continuous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7266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69EB" w:rsidRDefault="005F5F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69EB" w:rsidRDefault="005F5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7639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69EB" w:rsidRDefault="005F5F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69EB" w:rsidRDefault="005F5FC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C0"/>
    <w:rsid w:val="005F5FC0"/>
    <w:rsid w:val="00E6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4FA1"/>
  <w15:chartTrackingRefBased/>
  <w15:docId w15:val="{49845A3C-B552-41AB-87FA-2882D077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F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F5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FC0"/>
  </w:style>
  <w:style w:type="character" w:styleId="LineNumber">
    <w:name w:val="line number"/>
    <w:basedOn w:val="DefaultParagraphFont"/>
    <w:uiPriority w:val="99"/>
    <w:semiHidden/>
    <w:unhideWhenUsed/>
    <w:rsid w:val="005F5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laptopadmin</dc:creator>
  <cp:keywords/>
  <dc:description/>
  <cp:lastModifiedBy>laptopadmin</cp:lastModifiedBy>
  <cp:revision>1</cp:revision>
  <dcterms:created xsi:type="dcterms:W3CDTF">2019-04-19T10:32:00Z</dcterms:created>
  <dcterms:modified xsi:type="dcterms:W3CDTF">2019-04-19T10:35:00Z</dcterms:modified>
</cp:coreProperties>
</file>