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42" w:rsidRPr="00F330C1" w:rsidRDefault="00E32B42" w:rsidP="00E32B42">
      <w:pPr>
        <w:spacing w:before="120" w:after="120"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F330C1">
        <w:rPr>
          <w:rFonts w:ascii="Times New Roman" w:hAnsi="Times New Roman" w:cs="Times New Roman"/>
          <w:b/>
        </w:rPr>
        <w:t>Appendix A. Supplementary description of the sample</w:t>
      </w:r>
    </w:p>
    <w:p w:rsidR="00E32B42" w:rsidRPr="00F330C1" w:rsidRDefault="00E32B42" w:rsidP="00E32B4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F330C1">
        <w:rPr>
          <w:rFonts w:ascii="Times New Roman" w:hAnsi="Times New Roman" w:cs="Times New Roman"/>
          <w:i/>
          <w:color w:val="000000"/>
        </w:rPr>
        <w:t xml:space="preserve">A.1 Gran Dolina site: lithostratigraphic and geochronological context </w:t>
      </w:r>
    </w:p>
    <w:p w:rsidR="00E32B42" w:rsidRPr="00F330C1" w:rsidRDefault="00E32B42" w:rsidP="00E32B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330C1">
        <w:rPr>
          <w:rFonts w:ascii="Times New Roman" w:hAnsi="Times New Roman" w:cs="Times New Roman"/>
          <w:color w:val="000000"/>
        </w:rPr>
        <w:t xml:space="preserve">The Gran Dolina cave (TD) is part of the karst system of the Sierra de Atapuerca (Burgos, Spain). This large cavity about 27 m deep and with a maximum width of 17m </w:t>
      </w:r>
      <w:r w:rsidRPr="00F330C1">
        <w:rPr>
          <w:rFonts w:ascii="Times New Roman" w:hAnsi="Times New Roman" w:cs="Times New Roman"/>
          <w:lang w:val="en-US"/>
        </w:rPr>
        <w:t>(Bermúdez de Castro et al., 2003)</w:t>
      </w:r>
      <w:r w:rsidRPr="00F330C1">
        <w:rPr>
          <w:rFonts w:ascii="Times New Roman" w:hAnsi="Times New Roman" w:cs="Times New Roman"/>
          <w:color w:val="000000"/>
        </w:rPr>
        <w:t xml:space="preserve"> was cut by the construction of a railway trench, resulting in the exposure of its stratigraphic section. </w:t>
      </w:r>
      <w:r w:rsidRPr="00F330C1">
        <w:rPr>
          <w:rFonts w:ascii="Times New Roman" w:hAnsi="Times New Roman" w:cs="Times New Roman"/>
        </w:rPr>
        <w:t xml:space="preserve">Gil </w:t>
      </w:r>
      <w:r>
        <w:rPr>
          <w:rFonts w:ascii="Times New Roman" w:hAnsi="Times New Roman" w:cs="Times New Roman"/>
        </w:rPr>
        <w:t>et al.</w:t>
      </w:r>
      <w:r w:rsidRPr="00F330C1">
        <w:rPr>
          <w:rFonts w:ascii="Times New Roman" w:hAnsi="Times New Roman" w:cs="Times New Roman"/>
        </w:rPr>
        <w:t xml:space="preserve"> (1987)</w:t>
      </w:r>
      <w:r w:rsidRPr="00F330C1">
        <w:rPr>
          <w:rFonts w:ascii="Times New Roman" w:hAnsi="Times New Roman" w:cs="Times New Roman"/>
          <w:color w:val="000000"/>
        </w:rPr>
        <w:t xml:space="preserve"> divided this section from bottom to top into 11 levels: TD1 to TD11. </w:t>
      </w:r>
      <w:r w:rsidRPr="00F330C1">
        <w:rPr>
          <w:rFonts w:ascii="Times New Roman" w:hAnsi="Times New Roman" w:cs="Times New Roman"/>
        </w:rPr>
        <w:t>In 1993, an archaeological survey pit of 6 m</w:t>
      </w:r>
      <w:r w:rsidRPr="00F330C1">
        <w:rPr>
          <w:rFonts w:ascii="Times New Roman" w:hAnsi="Times New Roman" w:cs="Times New Roman"/>
          <w:vertAlign w:val="superscript"/>
        </w:rPr>
        <w:t>2</w:t>
      </w:r>
      <w:r w:rsidRPr="00F330C1">
        <w:rPr>
          <w:rFonts w:ascii="Times New Roman" w:hAnsi="Times New Roman" w:cs="Times New Roman"/>
        </w:rPr>
        <w:t xml:space="preserve"> was excavated, reaching level 6 (TD6) in 1994 (Bermúdez de Castro et al., 1999b). This level has been divided into three sublevels: TD6-1, TD6-2, and TD6-3 </w:t>
      </w:r>
      <w:r w:rsidRPr="00F330C1">
        <w:rPr>
          <w:rFonts w:ascii="Times New Roman" w:hAnsi="Times New Roman" w:cs="Times New Roman"/>
          <w:lang w:val="en-US"/>
        </w:rPr>
        <w:t>(Bermúdez de Castro et al., 1999b; Campaña et al., 2017)</w:t>
      </w:r>
      <w:r w:rsidRPr="00F330C1">
        <w:rPr>
          <w:rFonts w:ascii="Times New Roman" w:hAnsi="Times New Roman" w:cs="Times New Roman"/>
        </w:rPr>
        <w:t xml:space="preserve">. At least 160 human fossils, as well as more than 300 artefacts and several thousand micro- and macromammal fossil remains were found in sublevel TD6-2 </w:t>
      </w:r>
      <w:r w:rsidRPr="00F330C1">
        <w:rPr>
          <w:rFonts w:ascii="Times New Roman" w:hAnsi="Times New Roman" w:cs="Times New Roman"/>
          <w:lang w:val="en-US"/>
        </w:rPr>
        <w:t xml:space="preserve">(Carbonell et al., 1999; Cuenca-Bescós et al., 1999; García and Arsuaga, 1999; van der Made, 1999). </w:t>
      </w:r>
      <w:r w:rsidRPr="00F330C1">
        <w:rPr>
          <w:rFonts w:ascii="Times New Roman" w:hAnsi="Times New Roman" w:cs="Times New Roman"/>
        </w:rPr>
        <w:t>Parés and Pérez-González (1995)</w:t>
      </w:r>
      <w:r w:rsidRPr="00F330C1">
        <w:rPr>
          <w:rFonts w:ascii="Times New Roman" w:hAnsi="Times New Roman" w:cs="Times New Roman"/>
          <w:color w:val="FF0000"/>
        </w:rPr>
        <w:t xml:space="preserve"> </w:t>
      </w:r>
      <w:r w:rsidRPr="00F330C1">
        <w:rPr>
          <w:rFonts w:ascii="Times New Roman" w:hAnsi="Times New Roman" w:cs="Times New Roman"/>
        </w:rPr>
        <w:t xml:space="preserve">observed a polarity reversal between TD7 and TD8, interpreted as the Matuyama/Brunhes boundary, meaning that levels TD8 to TD11 were deposited during the Middle Pleistocene, whereas levels TD7 to TD1 were deposited during the Early Pleistocene </w:t>
      </w:r>
      <w:r w:rsidRPr="00F330C1">
        <w:rPr>
          <w:rFonts w:ascii="Times New Roman" w:hAnsi="Times New Roman" w:cs="Times New Roman"/>
          <w:lang w:val="en-US"/>
        </w:rPr>
        <w:t>(Parés and Pérez-González, 1995</w:t>
      </w:r>
      <w:r>
        <w:rPr>
          <w:rFonts w:ascii="Times New Roman" w:hAnsi="Times New Roman" w:cs="Times New Roman"/>
          <w:lang w:val="en-US"/>
        </w:rPr>
        <w:t>, 1999</w:t>
      </w:r>
      <w:r w:rsidRPr="00F330C1">
        <w:rPr>
          <w:rFonts w:ascii="Times New Roman" w:hAnsi="Times New Roman" w:cs="Times New Roman"/>
          <w:lang w:val="en-US"/>
        </w:rPr>
        <w:t>)</w:t>
      </w:r>
      <w:r w:rsidRPr="00F330C1">
        <w:rPr>
          <w:rFonts w:ascii="Times New Roman" w:hAnsi="Times New Roman" w:cs="Times New Roman"/>
        </w:rPr>
        <w:t xml:space="preserve">. These results were supported by further geochronological techniques applied to samples from TD7 and TD6 </w:t>
      </w:r>
      <w:r w:rsidRPr="00F330C1">
        <w:rPr>
          <w:rFonts w:ascii="Times New Roman" w:hAnsi="Times New Roman" w:cs="Times New Roman"/>
          <w:lang w:val="en-US"/>
        </w:rPr>
        <w:t xml:space="preserve">(Arnold et al., 2014; Berger et al., 2008; Falguères et al., 1999; Moreno et al., 2015). </w:t>
      </w:r>
      <w:r w:rsidRPr="00F330C1">
        <w:rPr>
          <w:rFonts w:ascii="Times New Roman" w:hAnsi="Times New Roman" w:cs="Times New Roman"/>
        </w:rPr>
        <w:t xml:space="preserve">A recent study undertook a series of TT-OSL suitability assessments on known-age samples from TD6 (Arnold and Demuro, 2015). Using this method, they obtained a weighted average age of 0.85 ± 0.04 Ma for TD6-3. </w:t>
      </w:r>
      <w:r w:rsidRPr="00F330C1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The last study published in which the results of the first direct Electron Spin Resonance (ESR) dating of </w:t>
      </w:r>
      <w:r w:rsidRPr="00F330C1">
        <w:rPr>
          <w:rFonts w:ascii="Times New Roman" w:eastAsiaTheme="minorHAnsi" w:hAnsi="Times New Roman" w:cs="Times New Roman"/>
          <w:i/>
          <w:iCs/>
          <w:kern w:val="0"/>
          <w:lang w:val="en-US" w:eastAsia="en-US" w:bidi="ar-SA"/>
        </w:rPr>
        <w:t xml:space="preserve">Homo antecessor </w:t>
      </w:r>
      <w:r w:rsidRPr="00F330C1">
        <w:rPr>
          <w:rFonts w:ascii="Times New Roman" w:eastAsiaTheme="minorHAnsi" w:hAnsi="Times New Roman" w:cs="Times New Roman"/>
          <w:iCs/>
          <w:kern w:val="0"/>
          <w:lang w:val="en-US" w:eastAsia="en-US" w:bidi="ar-SA"/>
        </w:rPr>
        <w:t xml:space="preserve">were reported, </w:t>
      </w:r>
      <w:r w:rsidRPr="00F330C1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provided a final age estimate ranging from 624 to 949 ka, </w:t>
      </w:r>
      <w:r w:rsidRPr="006D39B6">
        <w:rPr>
          <w:rFonts w:ascii="Times New Roman" w:hAnsi="Times New Roman" w:cs="Times New Roman"/>
        </w:rPr>
        <w:t>(Duval et al., 2018)</w:t>
      </w:r>
      <w:r w:rsidRPr="00F330C1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. </w:t>
      </w:r>
      <w:r w:rsidRPr="00F330C1">
        <w:rPr>
          <w:rFonts w:ascii="Times New Roman" w:hAnsi="Times New Roman" w:cs="Times New Roman"/>
        </w:rPr>
        <w:t>In summary, taking into account all this information we consider that the TD6 hominins could be assigned to Marine Isotope Stage (MIS)</w:t>
      </w:r>
      <w:r>
        <w:rPr>
          <w:rFonts w:ascii="Times New Roman" w:hAnsi="Times New Roman" w:cs="Times New Roman"/>
        </w:rPr>
        <w:t xml:space="preserve"> </w:t>
      </w:r>
      <w:r w:rsidRPr="00F330C1">
        <w:rPr>
          <w:rFonts w:ascii="Times New Roman" w:hAnsi="Times New Roman" w:cs="Times New Roman"/>
        </w:rPr>
        <w:t xml:space="preserve">21. </w:t>
      </w:r>
    </w:p>
    <w:p w:rsidR="00E32B42" w:rsidRPr="00F330C1" w:rsidRDefault="00E32B42" w:rsidP="00E32B4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i/>
          <w:color w:val="000000"/>
          <w:lang w:val="es-ES"/>
        </w:rPr>
      </w:pPr>
      <w:r w:rsidRPr="00F330C1">
        <w:rPr>
          <w:rFonts w:ascii="Times New Roman" w:hAnsi="Times New Roman" w:cs="Times New Roman"/>
          <w:i/>
          <w:color w:val="000000"/>
          <w:lang w:val="es-ES"/>
        </w:rPr>
        <w:t xml:space="preserve">A.2 Sima de los Huesos site: lithostratigraphic and geochronological context </w:t>
      </w:r>
    </w:p>
    <w:p w:rsidR="00E32B42" w:rsidRPr="00F330C1" w:rsidRDefault="00E32B42" w:rsidP="00E32B42">
      <w:pPr>
        <w:spacing w:line="360" w:lineRule="auto"/>
        <w:jc w:val="both"/>
        <w:rPr>
          <w:rFonts w:ascii="Times New Roman" w:hAnsi="Times New Roman" w:cs="Times New Roman"/>
        </w:rPr>
      </w:pPr>
      <w:r w:rsidRPr="00F330C1">
        <w:rPr>
          <w:rFonts w:ascii="Times New Roman" w:hAnsi="Times New Roman" w:cs="Times New Roman"/>
        </w:rPr>
        <w:t xml:space="preserve">To date, more than 6500 human fossils from at least 28 individuals have been recovered from the Sima de los Huesos (SH) site located in the Cueva Mayor karst system (Burgos, Spain) </w:t>
      </w:r>
      <w:r w:rsidRPr="00F330C1">
        <w:rPr>
          <w:rFonts w:ascii="Times New Roman" w:hAnsi="Times New Roman" w:cs="Times New Roman"/>
          <w:lang w:val="en-US"/>
        </w:rPr>
        <w:t>(Arsuaga et al., 1997, 2014; Bischoff et al., 1997)</w:t>
      </w:r>
      <w:r w:rsidRPr="00F330C1">
        <w:rPr>
          <w:rFonts w:ascii="Times New Roman" w:hAnsi="Times New Roman" w:cs="Times New Roman"/>
        </w:rPr>
        <w:t xml:space="preserve">. The hominin remains from this site are represented in a single lithostatigraphic level (LU6) of the 12 levels that make up its sedimentary record </w:t>
      </w:r>
      <w:r w:rsidRPr="00F330C1">
        <w:rPr>
          <w:rFonts w:ascii="Times New Roman" w:hAnsi="Times New Roman" w:cs="Times New Roman"/>
          <w:lang w:val="en-US"/>
        </w:rPr>
        <w:t>(Arsuaga et al., 2014)</w:t>
      </w:r>
      <w:r w:rsidRPr="00F330C1">
        <w:rPr>
          <w:rFonts w:ascii="Times New Roman" w:hAnsi="Times New Roman" w:cs="Times New Roman"/>
        </w:rPr>
        <w:t xml:space="preserve">. U-series dating of a </w:t>
      </w:r>
      <w:r w:rsidRPr="00F330C1">
        <w:rPr>
          <w:rFonts w:ascii="Times New Roman" w:hAnsi="Times New Roman" w:cs="Times New Roman"/>
        </w:rPr>
        <w:lastRenderedPageBreak/>
        <w:t xml:space="preserve">cave raft speleothem deposited directly on a hominin cranium (cranium 4) provided a weighted age of 434 +36/-24 kyr for the SH hominins </w:t>
      </w:r>
      <w:r w:rsidRPr="00F330C1">
        <w:rPr>
          <w:rFonts w:ascii="Times New Roman" w:hAnsi="Times New Roman" w:cs="Times New Roman"/>
          <w:lang w:val="en-US"/>
        </w:rPr>
        <w:t>(Bischoff et al., 2003)</w:t>
      </w:r>
      <w:r w:rsidRPr="00F330C1">
        <w:rPr>
          <w:rFonts w:ascii="Times New Roman" w:hAnsi="Times New Roman" w:cs="Times New Roman"/>
        </w:rPr>
        <w:t>. Th</w:t>
      </w:r>
      <w:r w:rsidR="008929E7">
        <w:rPr>
          <w:rFonts w:ascii="Times New Roman" w:hAnsi="Times New Roman" w:cs="Times New Roman"/>
        </w:rPr>
        <w:t>e presence of archaic forms of </w:t>
      </w:r>
      <w:r w:rsidRPr="00F330C1">
        <w:rPr>
          <w:rFonts w:ascii="Times New Roman" w:hAnsi="Times New Roman" w:cs="Times New Roman"/>
        </w:rPr>
        <w:t>some carnivore species (</w:t>
      </w:r>
      <w:r w:rsidRPr="00F330C1">
        <w:rPr>
          <w:rStyle w:val="Emphasis"/>
          <w:rFonts w:ascii="Times New Roman" w:hAnsi="Times New Roman" w:cs="Times New Roman"/>
        </w:rPr>
        <w:t>Ursus deningeri</w:t>
      </w:r>
      <w:r w:rsidRPr="00F330C1">
        <w:rPr>
          <w:rFonts w:ascii="Times New Roman" w:hAnsi="Times New Roman" w:cs="Times New Roman"/>
        </w:rPr>
        <w:t xml:space="preserve"> and </w:t>
      </w:r>
      <w:r w:rsidRPr="00F330C1">
        <w:rPr>
          <w:rStyle w:val="Emphasis"/>
          <w:rFonts w:ascii="Times New Roman" w:hAnsi="Times New Roman" w:cs="Times New Roman"/>
        </w:rPr>
        <w:t>Panthera leo</w:t>
      </w:r>
      <w:r w:rsidRPr="00F330C1">
        <w:rPr>
          <w:rFonts w:ascii="Times New Roman" w:hAnsi="Times New Roman" w:cs="Times New Roman"/>
        </w:rPr>
        <w:t> cf. </w:t>
      </w:r>
      <w:r w:rsidRPr="00F330C1">
        <w:rPr>
          <w:rStyle w:val="Emphasis"/>
          <w:rFonts w:ascii="Times New Roman" w:hAnsi="Times New Roman" w:cs="Times New Roman"/>
        </w:rPr>
        <w:t>fossilis</w:t>
      </w:r>
      <w:r w:rsidRPr="00F330C1">
        <w:rPr>
          <w:rFonts w:ascii="Times New Roman" w:hAnsi="Times New Roman" w:cs="Times New Roman"/>
        </w:rPr>
        <w:t>), as well as the microfauna (</w:t>
      </w:r>
      <w:r w:rsidRPr="00F330C1">
        <w:rPr>
          <w:rStyle w:val="Emphasis"/>
          <w:rFonts w:ascii="Times New Roman" w:hAnsi="Times New Roman" w:cs="Times New Roman"/>
        </w:rPr>
        <w:t>Clethrionomys acrorhiza),</w:t>
      </w:r>
      <w:r w:rsidRPr="00F330C1">
        <w:rPr>
          <w:rFonts w:ascii="Times New Roman" w:hAnsi="Times New Roman" w:cs="Times New Roman"/>
        </w:rPr>
        <w:t xml:space="preserve"> are in agreement with these dates and would suggest that SH corresponds to </w:t>
      </w:r>
      <w:r>
        <w:rPr>
          <w:rFonts w:ascii="Times New Roman" w:hAnsi="Times New Roman" w:cs="Times New Roman"/>
        </w:rPr>
        <w:t>MIS</w:t>
      </w:r>
      <w:r w:rsidRPr="00F330C1">
        <w:rPr>
          <w:rFonts w:ascii="Times New Roman" w:hAnsi="Times New Roman" w:cs="Times New Roman"/>
        </w:rPr>
        <w:t xml:space="preserve"> 15/16 </w:t>
      </w:r>
      <w:r w:rsidRPr="00F330C1">
        <w:rPr>
          <w:rFonts w:ascii="Times New Roman" w:hAnsi="Times New Roman" w:cs="Times New Roman"/>
          <w:lang w:val="en-US"/>
        </w:rPr>
        <w:t xml:space="preserve">(Arsuaga et al., 2014; Cuenca-Bescós et al., 1997; García and Arsuaga, 2011). </w:t>
      </w:r>
      <w:r w:rsidRPr="00F330C1">
        <w:rPr>
          <w:rFonts w:ascii="Times New Roman" w:hAnsi="Times New Roman" w:cs="Times New Roman"/>
        </w:rPr>
        <w:t xml:space="preserve">The more recent data refer to the post-infrared-stimulated luminescence (pIR-IR) dating of K-feldspars and the thermally transferred optically stimulated luminescence (TT-OSL) dating of individual quartz grains, which have provided a mean age of 433±15 kyr and 416±12 kyr, respectively </w:t>
      </w:r>
      <w:r w:rsidRPr="00F330C1">
        <w:rPr>
          <w:rFonts w:ascii="Times New Roman" w:hAnsi="Times New Roman" w:cs="Times New Roman"/>
          <w:lang w:val="en-US"/>
        </w:rPr>
        <w:t>(Arnold et al., 2014)</w:t>
      </w:r>
      <w:r w:rsidRPr="00F330C1">
        <w:rPr>
          <w:rFonts w:ascii="Times New Roman" w:hAnsi="Times New Roman" w:cs="Times New Roman"/>
        </w:rPr>
        <w:t xml:space="preserve">. </w:t>
      </w:r>
    </w:p>
    <w:p w:rsidR="00E32B42" w:rsidRPr="00F330C1" w:rsidRDefault="00E32B42" w:rsidP="00E32B4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F330C1">
        <w:rPr>
          <w:rFonts w:ascii="Times New Roman" w:hAnsi="Times New Roman" w:cs="Times New Roman"/>
          <w:i/>
          <w:color w:val="000000"/>
        </w:rPr>
        <w:t>A.3 Krapina site: lithostratigraphic and geochronological context</w:t>
      </w:r>
    </w:p>
    <w:p w:rsidR="00E32B42" w:rsidRDefault="00E32B42" w:rsidP="00E32B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F330C1">
        <w:rPr>
          <w:rFonts w:ascii="Times New Roman" w:eastAsia="AdvP66FA" w:hAnsi="Times New Roman" w:cs="Times New Roman"/>
          <w:color w:val="241F20"/>
        </w:rPr>
        <w:t xml:space="preserve">The fully Neanderthal fossil collection from the Croatian site of Krapina comprises more than 850 skeletal remains belonging to up to 70 individuals </w:t>
      </w:r>
      <w:r w:rsidRPr="00F330C1">
        <w:rPr>
          <w:rFonts w:ascii="Times New Roman" w:hAnsi="Times New Roman" w:cs="Times New Roman"/>
          <w:lang w:val="en-US"/>
        </w:rPr>
        <w:t xml:space="preserve">(Brace, 1979; Brace et al., 1964; </w:t>
      </w:r>
      <w:r w:rsidRPr="00EE5C3C">
        <w:rPr>
          <w:rFonts w:ascii="Times New Roman" w:eastAsiaTheme="minorHAnsi" w:hAnsi="Times New Roman" w:cs="Times New Roman"/>
          <w:color w:val="000000" w:themeColor="text1"/>
          <w:kern w:val="0"/>
          <w:lang w:eastAsia="en-US" w:bidi="ar-SA"/>
        </w:rPr>
        <w:t>Radovčić</w:t>
      </w:r>
      <w:r w:rsidRPr="00F330C1">
        <w:rPr>
          <w:rFonts w:ascii="Times New Roman" w:hAnsi="Times New Roman" w:cs="Times New Roman"/>
          <w:lang w:val="en-US"/>
        </w:rPr>
        <w:t>, 1988; Smith, 1976; Wolpoff, 1979)</w:t>
      </w:r>
      <w:r w:rsidRPr="00F330C1">
        <w:rPr>
          <w:rFonts w:ascii="Times New Roman" w:eastAsia="AdvP66FA" w:hAnsi="Times New Roman" w:cs="Times New Roman"/>
          <w:color w:val="000000"/>
        </w:rPr>
        <w:t>,</w:t>
      </w:r>
      <w:r w:rsidRPr="00F330C1">
        <w:rPr>
          <w:rFonts w:ascii="Times New Roman" w:eastAsia="AdvP66FA" w:hAnsi="Times New Roman" w:cs="Times New Roman"/>
          <w:color w:val="241F20"/>
        </w:rPr>
        <w:t xml:space="preserve"> which makes their fossil record widely recognized as the largest Neanderthal collection from any one site in the world. This collection derives from a rock shelter in </w:t>
      </w:r>
      <w:r w:rsidRPr="00F330C1">
        <w:rPr>
          <w:rFonts w:ascii="Times New Roman" w:eastAsia="AdvP66FA" w:hAnsi="Times New Roman" w:cs="Times New Roman"/>
          <w:color w:val="000000"/>
        </w:rPr>
        <w:t xml:space="preserve">Hušnjakovo </w:t>
      </w:r>
      <w:r w:rsidRPr="00F330C1">
        <w:rPr>
          <w:rFonts w:ascii="Times New Roman" w:eastAsia="AdvP66FA" w:hAnsi="Times New Roman" w:cs="Times New Roman"/>
          <w:color w:val="241F20"/>
        </w:rPr>
        <w:t xml:space="preserve">(northern Croatia), the stratigraphic levels of which were well described by </w:t>
      </w:r>
      <w:r>
        <w:rPr>
          <w:rFonts w:ascii="Times New Roman" w:hAnsi="Times New Roman" w:cs="Times New Roman"/>
        </w:rPr>
        <w:t>Gorjaniociĉ-Kramberger (</w:t>
      </w:r>
      <w:r w:rsidRPr="00F330C1">
        <w:rPr>
          <w:rFonts w:ascii="Times New Roman" w:hAnsi="Times New Roman" w:cs="Times New Roman"/>
        </w:rPr>
        <w:t>1906)</w:t>
      </w:r>
      <w:r w:rsidRPr="00F330C1">
        <w:rPr>
          <w:rFonts w:ascii="Times New Roman" w:eastAsia="AdvP66FA" w:hAnsi="Times New Roman" w:cs="Times New Roman"/>
          <w:color w:val="241F20"/>
        </w:rPr>
        <w:t xml:space="preserve">. </w:t>
      </w:r>
      <w:r w:rsidRPr="00F330C1">
        <w:rPr>
          <w:rFonts w:ascii="Times New Roman" w:hAnsi="Times New Roman" w:cs="Times New Roman"/>
          <w:color w:val="333333"/>
          <w:shd w:val="clear" w:color="auto" w:fill="FFFFFF"/>
        </w:rPr>
        <w:t>ESR and U-Series dating suggested a date between 120–130 kyr for the site with the entire stratigraphic sequence accumulating over a short 20 kyr time period or less </w:t>
      </w:r>
      <w:r w:rsidRPr="00F330C1">
        <w:rPr>
          <w:rFonts w:ascii="Times New Roman" w:hAnsi="Times New Roman" w:cs="Times New Roman"/>
          <w:lang w:val="en-US"/>
        </w:rPr>
        <w:t>(Rink et al., 1995)</w:t>
      </w:r>
      <w:r w:rsidRPr="00F330C1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Pr="00F330C1">
        <w:rPr>
          <w:rFonts w:ascii="Times New Roman" w:eastAsia="AdvP66FA" w:hAnsi="Times New Roman" w:cs="Times New Roman"/>
          <w:color w:val="241F20"/>
        </w:rPr>
        <w:t xml:space="preserve">Most of the hominid material derives from levels 3 and 4, which correspond with </w:t>
      </w:r>
      <w:r w:rsidRPr="00F330C1">
        <w:rPr>
          <w:rFonts w:ascii="Times New Roman" w:hAnsi="Times New Roman" w:cs="Times New Roman"/>
        </w:rPr>
        <w:t xml:space="preserve">the last interglacial and the early last glacial period, although some specimens may have been deposited later </w:t>
      </w:r>
      <w:r w:rsidRPr="00F330C1">
        <w:rPr>
          <w:rFonts w:ascii="Times New Roman" w:hAnsi="Times New Roman" w:cs="Times New Roman"/>
          <w:lang w:val="en-US"/>
        </w:rPr>
        <w:t>(Malez, 1970)</w:t>
      </w:r>
      <w:r w:rsidRPr="00F330C1">
        <w:rPr>
          <w:rFonts w:ascii="Times New Roman" w:hAnsi="Times New Roman" w:cs="Times New Roman"/>
        </w:rPr>
        <w:t>.</w:t>
      </w:r>
      <w:r w:rsidRPr="00F330C1">
        <w:rPr>
          <w:rFonts w:ascii="Times New Roman" w:hAnsi="Times New Roman" w:cs="Times New Roman"/>
          <w:color w:val="FF0000"/>
        </w:rPr>
        <w:t xml:space="preserve"> </w:t>
      </w:r>
    </w:p>
    <w:p w:rsidR="00E32B42" w:rsidRDefault="00E32B42" w:rsidP="00E32B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E32B42" w:rsidRDefault="00E32B42" w:rsidP="00E32B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E32B42" w:rsidRDefault="00E32B42" w:rsidP="00E32B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E32B42" w:rsidRDefault="00E32B42" w:rsidP="00E32B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E32B42" w:rsidRDefault="00E32B42" w:rsidP="00E32B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E32B42" w:rsidRDefault="00E32B42" w:rsidP="00E32B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E32B42" w:rsidRDefault="00E32B42" w:rsidP="00E32B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E32B42" w:rsidRDefault="00E32B42" w:rsidP="00E32B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E32B42" w:rsidRDefault="00E32B42" w:rsidP="00E32B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E32B42" w:rsidRDefault="00E32B42" w:rsidP="00E32B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E32B42" w:rsidRPr="00F330C1" w:rsidRDefault="00E32B42" w:rsidP="00E32B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A7151F" w:rsidRDefault="00E32B42" w:rsidP="00E32B4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74061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Table A.1.</w:t>
      </w:r>
      <w:r w:rsidRPr="004740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Krapina upper and lower permanent canines included in this study. </w:t>
      </w:r>
    </w:p>
    <w:p w:rsidR="008929E7" w:rsidRPr="008929E7" w:rsidRDefault="00A7151F" w:rsidP="00E32B4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</w:pPr>
      <w:r w:rsidRPr="00A7151F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>Tableau A.1.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</w:t>
      </w:r>
      <w:r w:rsidR="008929E7" w:rsidRPr="00474061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Canines permanentes supérieures et inférieures de Krapina incluses dans cette étude.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E32B42" w:rsidRPr="00474061" w:rsidTr="00400B02">
        <w:trPr>
          <w:trHeight w:val="630"/>
        </w:trPr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D66DAB" w:rsidRDefault="00E32B42" w:rsidP="00400B0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D66D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Specimen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Tooth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Root conservation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Wear stage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Buti </w:t>
            </w:r>
            <w:r w:rsidRPr="00D66DAB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eastAsia="es-ES"/>
              </w:rPr>
              <w:t>et al.</w:t>
            </w:r>
            <w:r w:rsidRPr="00474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2017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D120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Incomplete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00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E32B42" w:rsidRPr="00474061" w:rsidRDefault="00E32B42" w:rsidP="00400B0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D121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Incomplete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D102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Incomplete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D103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Incomplete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45,1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Incomplete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Not 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D75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Complete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D119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Incomplete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D37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Complete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D76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Complete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D141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Incomplete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D36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Complete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D147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Complete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Not 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D56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Complete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D142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Incomplete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Not 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D145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Incomplete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Not 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D146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Complete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Not 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D138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Complete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Not included</w:t>
            </w:r>
          </w:p>
        </w:tc>
      </w:tr>
      <w:tr w:rsidR="00E32B42" w:rsidRPr="00474061" w:rsidTr="00400B02">
        <w:trPr>
          <w:trHeight w:val="315"/>
        </w:trPr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D144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Incomplete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32B42" w:rsidRPr="00474061" w:rsidRDefault="00E32B42" w:rsidP="00400B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4740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Included</w:t>
            </w:r>
          </w:p>
        </w:tc>
      </w:tr>
    </w:tbl>
    <w:p w:rsidR="008929E7" w:rsidRDefault="008929E7" w:rsidP="008929E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</w:pPr>
      <w:r w:rsidRPr="004740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Tooth type has been named following the World Dental Federation (FDI) system. Wear stages following Molnar (1971). In this table the teeth included in Buti et al. </w:t>
      </w:r>
      <w:r w:rsidRPr="00474061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(2017) study are also indicated.</w:t>
      </w:r>
    </w:p>
    <w:p w:rsidR="008929E7" w:rsidRPr="00A7151F" w:rsidRDefault="008929E7" w:rsidP="008929E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474061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Le type de dent a été établi suivant le système de la World Dental Federation (FDI). Stades d'usure selon Molnar (1971). Dans ce tableau, les dents incluses dans l'étude de Buti et al. </w:t>
      </w:r>
      <w:r w:rsidRPr="00474061">
        <w:rPr>
          <w:rFonts w:ascii="Times New Roman" w:hAnsi="Times New Roman" w:cs="Times New Roman"/>
          <w:color w:val="000000" w:themeColor="text1"/>
          <w:sz w:val="20"/>
          <w:szCs w:val="20"/>
        </w:rPr>
        <w:t>(2017) sont également indiquées.</w:t>
      </w:r>
    </w:p>
    <w:p w:rsidR="00E32B42" w:rsidRPr="00474061" w:rsidRDefault="00E32B42" w:rsidP="00E32B42">
      <w:pPr>
        <w:rPr>
          <w:rFonts w:ascii="Times New Roman" w:hAnsi="Times New Roman" w:cs="Times New Roman"/>
          <w:b/>
          <w:sz w:val="20"/>
          <w:szCs w:val="20"/>
        </w:rPr>
      </w:pPr>
    </w:p>
    <w:p w:rsidR="00E32B42" w:rsidRPr="00474061" w:rsidRDefault="00E32B42" w:rsidP="00E32B42">
      <w:pPr>
        <w:rPr>
          <w:rFonts w:ascii="Times New Roman" w:hAnsi="Times New Roman" w:cs="Times New Roman"/>
          <w:sz w:val="20"/>
          <w:szCs w:val="20"/>
        </w:rPr>
      </w:pPr>
    </w:p>
    <w:p w:rsidR="00E32B42" w:rsidRDefault="00E32B42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AA7221" w:rsidRDefault="00E32B42" w:rsidP="00E32B4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F4B92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Table A.2.</w:t>
      </w:r>
      <w:r w:rsidRPr="00FF4B9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Modern human upper and lower permanent canines included in this study.</w:t>
      </w:r>
      <w:r w:rsidR="004C641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E32B42" w:rsidRPr="00FF4B92" w:rsidRDefault="00AA7221" w:rsidP="00E32B42">
      <w:pPr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>Tableau A.2</w:t>
      </w:r>
      <w:r w:rsidRPr="00A7151F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</w:t>
      </w:r>
      <w:r w:rsidR="00E32B42" w:rsidRPr="00FF4B92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Les canines permanentes supérieures et inférieures des humains modernes inclus dans cette étude.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064"/>
        <w:gridCol w:w="2189"/>
        <w:gridCol w:w="1252"/>
        <w:gridCol w:w="1801"/>
      </w:tblGrid>
      <w:tr w:rsidR="00E32B42" w:rsidRPr="00FF4B92" w:rsidTr="00F11DEF">
        <w:trPr>
          <w:trHeight w:val="630"/>
        </w:trPr>
        <w:tc>
          <w:tcPr>
            <w:tcW w:w="135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fr-FR" w:eastAsia="es-ES"/>
              </w:rPr>
              <w:t>Collecti</w:t>
            </w:r>
            <w:r w:rsidRPr="00FF4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on</w:t>
            </w:r>
          </w:p>
        </w:tc>
        <w:tc>
          <w:tcPr>
            <w:tcW w:w="61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32B42" w:rsidRPr="00FF4B92" w:rsidRDefault="00E32B42" w:rsidP="00F11D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Origin</w:t>
            </w:r>
          </w:p>
        </w:tc>
        <w:tc>
          <w:tcPr>
            <w:tcW w:w="7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Females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s-ES"/>
              </w:rPr>
              <w:t>Males</w:t>
            </w:r>
          </w:p>
        </w:tc>
      </w:tr>
      <w:tr w:rsidR="00E32B42" w:rsidRPr="00FF4B92" w:rsidTr="00F11DEF">
        <w:trPr>
          <w:trHeight w:val="315"/>
        </w:trPr>
        <w:tc>
          <w:tcPr>
            <w:tcW w:w="1352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FF4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S"/>
              </w:rPr>
              <w:t>Escuela de Medicina Legal de Madrid</w:t>
            </w:r>
          </w:p>
        </w:tc>
        <w:tc>
          <w:tcPr>
            <w:tcW w:w="615" w:type="pc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E32B42" w:rsidRPr="00FF4B92" w:rsidRDefault="00E32B42" w:rsidP="00F11DE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266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European</w:t>
            </w:r>
          </w:p>
        </w:tc>
        <w:tc>
          <w:tcPr>
            <w:tcW w:w="724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1042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31</w:t>
            </w:r>
          </w:p>
        </w:tc>
      </w:tr>
      <w:tr w:rsidR="00E32B42" w:rsidRPr="00FF4B92" w:rsidTr="00F11DEF">
        <w:trPr>
          <w:trHeight w:val="315"/>
        </w:trPr>
        <w:tc>
          <w:tcPr>
            <w:tcW w:w="1352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Pretoria Bone Collection</w:t>
            </w:r>
          </w:p>
        </w:tc>
        <w:tc>
          <w:tcPr>
            <w:tcW w:w="615" w:type="pct"/>
            <w:tcBorders>
              <w:left w:val="nil"/>
              <w:bottom w:val="nil"/>
              <w:right w:val="nil"/>
            </w:tcBorders>
            <w:vAlign w:val="bottom"/>
          </w:tcPr>
          <w:p w:rsidR="00E32B42" w:rsidRPr="00FF4B92" w:rsidRDefault="00E32B42" w:rsidP="00F11DE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1266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African</w:t>
            </w:r>
          </w:p>
        </w:tc>
        <w:tc>
          <w:tcPr>
            <w:tcW w:w="724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042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29</w:t>
            </w:r>
          </w:p>
        </w:tc>
      </w:tr>
      <w:tr w:rsidR="00E32B42" w:rsidRPr="00FF4B92" w:rsidTr="00F11DEF">
        <w:trPr>
          <w:trHeight w:val="315"/>
        </w:trPr>
        <w:tc>
          <w:tcPr>
            <w:tcW w:w="135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Sudanese collection</w:t>
            </w:r>
          </w:p>
        </w:tc>
        <w:tc>
          <w:tcPr>
            <w:tcW w:w="615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32B42" w:rsidRPr="00FF4B92" w:rsidRDefault="00E32B42" w:rsidP="00F11DE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26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African</w:t>
            </w:r>
          </w:p>
        </w:tc>
        <w:tc>
          <w:tcPr>
            <w:tcW w:w="72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04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E32B42" w:rsidRPr="00FF4B92" w:rsidTr="00F11DEF">
        <w:trPr>
          <w:trHeight w:val="442"/>
        </w:trPr>
        <w:tc>
          <w:tcPr>
            <w:tcW w:w="135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F4B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32B42" w:rsidRPr="00FF4B92" w:rsidRDefault="00E32B42" w:rsidP="00F11DE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</w:t>
            </w:r>
            <w:r w:rsidR="00D66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E32B42" w:rsidRPr="00FF4B92" w:rsidRDefault="00E32B42" w:rsidP="00F11D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66</w:t>
            </w:r>
          </w:p>
        </w:tc>
      </w:tr>
    </w:tbl>
    <w:p w:rsidR="00E32B42" w:rsidRPr="00FF4B92" w:rsidRDefault="00E32B42" w:rsidP="00E32B42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E32B42" w:rsidRPr="00FF4B92" w:rsidRDefault="00E32B42" w:rsidP="00E32B42">
      <w:pPr>
        <w:rPr>
          <w:sz w:val="20"/>
          <w:szCs w:val="20"/>
        </w:rPr>
      </w:pPr>
    </w:p>
    <w:p w:rsidR="00E32B42" w:rsidRDefault="00E32B42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E32B42" w:rsidRPr="00F330C1" w:rsidRDefault="00E32B42" w:rsidP="00E32B42">
      <w:pPr>
        <w:spacing w:before="240" w:after="240" w:line="360" w:lineRule="auto"/>
        <w:rPr>
          <w:rFonts w:ascii="Times New Roman" w:hAnsi="Times New Roman" w:cs="Times New Roman"/>
          <w:b/>
          <w:color w:val="000000" w:themeColor="text1"/>
        </w:rPr>
      </w:pPr>
      <w:r w:rsidRPr="00F330C1">
        <w:rPr>
          <w:rFonts w:ascii="Times New Roman" w:hAnsi="Times New Roman" w:cs="Times New Roman"/>
          <w:b/>
          <w:color w:val="000000" w:themeColor="text1"/>
        </w:rPr>
        <w:lastRenderedPageBreak/>
        <w:t>Appendix B. Supplementary data</w:t>
      </w:r>
    </w:p>
    <w:p w:rsidR="006A63F7" w:rsidRDefault="00E32B42" w:rsidP="00D66DA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2763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Table B.1.</w:t>
      </w:r>
      <w:r w:rsidRPr="00276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Descriptive statistics of the indices obtained from the measurement assessed on the upper canines with a wear stage greater than 3 </w:t>
      </w:r>
      <w:r w:rsidRPr="0027634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(Molnar, 1971)</w:t>
      </w:r>
      <w:r w:rsidRPr="002763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</w:rPr>
        <w:t>SD: standard deviation. Var. (%): percentage of variation between the means of each wear stage with regard to the slightly worn teeth [(µ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i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</w:rPr>
        <w:t>-µ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1-3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</w:rPr>
        <w:t>)/µ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 xml:space="preserve">1-3 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</w:rPr>
        <w:t>x100); i: wear stage].</w:t>
      </w:r>
      <w:r w:rsidR="00D66DAB" w:rsidRPr="00D66DA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</w:p>
    <w:p w:rsidR="00D66DAB" w:rsidRPr="00276340" w:rsidRDefault="006A63F7" w:rsidP="00D66DA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>Tableau B</w:t>
      </w:r>
      <w:r w:rsidRPr="00A7151F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>.1.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</w:t>
      </w:r>
      <w:r w:rsidR="00E32B42" w:rsidRPr="00276340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Statistiques descriptives des indices obtenus à partir de la mesure évaluée sur les canines supérieures avec un état d'usure supérieur à 3 (Molnar, 1971). 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SD: écart-type. Var. (%):pourcentage de variation entre les moyennes de chaque stade d'usure par rapport aux dents légèrement usées [(µ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fr-FR"/>
        </w:rPr>
        <w:t>i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-µ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fr-FR"/>
        </w:rPr>
        <w:t>1-3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)/µ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fr-FR"/>
        </w:rPr>
        <w:t xml:space="preserve">1-3 </w:t>
      </w:r>
      <w:r w:rsidR="00D66DAB" w:rsidRPr="00276340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x100); i: stade d'usure].</w:t>
      </w:r>
    </w:p>
    <w:p w:rsidR="00D66DAB" w:rsidRPr="00D66DAB" w:rsidRDefault="00D66DAB" w:rsidP="00D66D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267"/>
        <w:gridCol w:w="1125"/>
        <w:gridCol w:w="1125"/>
        <w:gridCol w:w="1262"/>
        <w:gridCol w:w="1214"/>
        <w:gridCol w:w="1172"/>
      </w:tblGrid>
      <w:tr w:rsidR="00E32B42" w:rsidRPr="00276340" w:rsidTr="00D66DAB">
        <w:trPr>
          <w:trHeight w:val="315"/>
        </w:trPr>
        <w:tc>
          <w:tcPr>
            <w:tcW w:w="85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42" w:rsidRPr="00D66DAB" w:rsidRDefault="00E32B42" w:rsidP="00400B02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D66D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Population/ Site</w:t>
            </w:r>
          </w:p>
        </w:tc>
        <w:tc>
          <w:tcPr>
            <w:tcW w:w="73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42" w:rsidRPr="00D66DAB" w:rsidRDefault="00E32B42" w:rsidP="00400B0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D66D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Wear Stage</w:t>
            </w:r>
          </w:p>
        </w:tc>
        <w:tc>
          <w:tcPr>
            <w:tcW w:w="65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42" w:rsidRPr="00D66DAB" w:rsidRDefault="00E32B42" w:rsidP="00400B02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42" w:rsidRPr="00D66DAB" w:rsidRDefault="00E32B42" w:rsidP="00400B02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D66D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3DAET</w:t>
            </w:r>
          </w:p>
        </w:tc>
        <w:tc>
          <w:tcPr>
            <w:tcW w:w="73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42" w:rsidRPr="00D66DAB" w:rsidRDefault="00E32B42" w:rsidP="00400B02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D66D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3DRET</w:t>
            </w:r>
          </w:p>
        </w:tc>
        <w:tc>
          <w:tcPr>
            <w:tcW w:w="70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42" w:rsidRPr="00D66DAB" w:rsidRDefault="00E32B42" w:rsidP="00400B02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D66D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Vcdp/Vc</w:t>
            </w:r>
          </w:p>
        </w:tc>
        <w:tc>
          <w:tcPr>
            <w:tcW w:w="68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42" w:rsidRPr="00D66DAB" w:rsidRDefault="00E32B42" w:rsidP="00400B02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D66D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OES/EDJS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SH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Mean (SD)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12.22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62.87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1.32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-17.05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-21.41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13.77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-2.94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Krapina</w:t>
            </w: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Mean (SD)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0.70 (0.04)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10.62 (0.26)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66.27 (1.79)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1.29 (0.01)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-22.78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-27.51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14.59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-7.19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SH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Mean (SD)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0.80 (0.00)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14.31 (0.82)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62.02 (2.30)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1.41 (0.01)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-9.09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-7.97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12.23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3.68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Krapina</w:t>
            </w: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Mean (SD)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0.76 (0.82)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12.82 (1.21)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63.15 (2.09)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1.35 (0.02)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-15.56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-12.49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9.20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-2.88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MH</w:t>
            </w: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Mean (SD)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0.63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11.84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65.58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1.35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-31.52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-35.19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23.36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-8.16</w:t>
            </w:r>
          </w:p>
        </w:tc>
      </w:tr>
      <w:tr w:rsidR="00E32B42" w:rsidRPr="00276340" w:rsidTr="00D66DAB">
        <w:trPr>
          <w:trHeight w:val="315"/>
        </w:trPr>
        <w:tc>
          <w:tcPr>
            <w:tcW w:w="85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SH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Mean (SD)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0.62 (0.06)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11.46 (0.71)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69.06 (1.95)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1.34 (0.03)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-29.17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-26.30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24.97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-1.72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Krapina</w:t>
            </w: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Mean (SD)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11.36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64.75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1.05</w:t>
            </w:r>
          </w:p>
        </w:tc>
      </w:tr>
      <w:tr w:rsidR="00E32B42" w:rsidRPr="00276340" w:rsidTr="00D66DAB">
        <w:trPr>
          <w:trHeight w:val="300"/>
        </w:trPr>
        <w:tc>
          <w:tcPr>
            <w:tcW w:w="85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33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32B42" w:rsidRPr="00276340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-16.67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-22.46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11.97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32B42" w:rsidRPr="00276340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27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-24.46</w:t>
            </w:r>
          </w:p>
        </w:tc>
      </w:tr>
    </w:tbl>
    <w:p w:rsidR="00E32B42" w:rsidRPr="00276340" w:rsidRDefault="00E32B42" w:rsidP="00E32B42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F44FC1" w:rsidRDefault="00D66DAB" w:rsidP="00D66DA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27634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3DAET: 3-D average enamel thickness index (Ve/EDJS, mm); 3DRET: the 3-D relative enamel thickness index (</w:t>
      </w:r>
      <w:r w:rsidRPr="00276340">
        <w:rPr>
          <w:rFonts w:ascii="Times New Roman" w:hAnsi="Times New Roman" w:cs="Times New Roman"/>
          <w:color w:val="000000" w:themeColor="text1"/>
          <w:sz w:val="20"/>
          <w:szCs w:val="20"/>
          <w:u w:color="231F20"/>
          <w:lang w:val="en-US"/>
        </w:rPr>
        <w:t>3DAET/</w:t>
      </w:r>
      <m:oMath>
        <m:rad>
          <m:radPr>
            <m:ctrlPr>
              <w:rPr>
                <w:rFonts w:ascii="Cambria Math" w:hAnsi="Times New Roman" w:cs="Times New Roman"/>
                <w:color w:val="000000" w:themeColor="text1"/>
                <w:sz w:val="20"/>
                <w:szCs w:val="20"/>
              </w:rPr>
            </m:ctrlPr>
          </m:radPr>
          <m:deg>
            <m:r>
              <w:rPr>
                <w:rFonts w:ascii="Cambria Math" w:hAnsi="Times New Roman" w:cs="Times New Roman"/>
                <w:color w:val="000000" w:themeColor="text1"/>
                <w:sz w:val="20"/>
                <w:szCs w:val="20"/>
                <w:lang w:val="en-US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0"/>
                <w:szCs w:val="20"/>
                <w:lang w:val="en-US"/>
              </w:rPr>
              <m:t>Vcdp</m:t>
            </m:r>
          </m:e>
        </m:rad>
      </m:oMath>
      <w:r w:rsidRPr="00276340">
        <w:rPr>
          <w:rFonts w:ascii="Times New Roman" w:hAnsi="Times New Roman" w:cs="Times New Roman"/>
          <w:color w:val="000000" w:themeColor="text1"/>
          <w:sz w:val="20"/>
          <w:szCs w:val="20"/>
          <w:u w:color="231F20"/>
          <w:lang w:val="en-US"/>
        </w:rPr>
        <w:t>) x 100);</w:t>
      </w:r>
      <w:r w:rsidRPr="0027634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RDV: relative dentine volume defined as the percentage of coronal volume that is dentine and pulp (Vcdp/Vc x100); and relative outer enamel complexity (OES/EDJ, free scale). </w:t>
      </w:r>
    </w:p>
    <w:p w:rsidR="00D66DAB" w:rsidRPr="00276340" w:rsidRDefault="00D66DAB" w:rsidP="00D66DA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</w:pPr>
      <w:r w:rsidRPr="00276340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3DAET: indice moyen d'épaisseur 3-D de l'émail (Ve/EDJS, mm); 3DRET: indice relatif d'épaisseur 3-D de l'émail (</w:t>
      </w:r>
      <w:r w:rsidRPr="00276340">
        <w:rPr>
          <w:rFonts w:ascii="Times New Roman" w:hAnsi="Times New Roman" w:cs="Times New Roman"/>
          <w:color w:val="000000" w:themeColor="text1"/>
          <w:sz w:val="20"/>
          <w:szCs w:val="20"/>
          <w:u w:color="231F20"/>
          <w:lang w:val="fr-FR"/>
        </w:rPr>
        <w:t>3DAET/</w:t>
      </w:r>
      <m:oMath>
        <m:rad>
          <m:radPr>
            <m:ctrlPr>
              <w:rPr>
                <w:rFonts w:ascii="Cambria Math" w:hAnsi="Times New Roman" w:cs="Times New Roman"/>
                <w:color w:val="000000" w:themeColor="text1"/>
                <w:sz w:val="20"/>
                <w:szCs w:val="20"/>
              </w:rPr>
            </m:ctrlPr>
          </m:radPr>
          <m:deg>
            <m:r>
              <w:rPr>
                <w:rFonts w:ascii="Cambria Math" w:hAnsi="Times New Roman" w:cs="Times New Roman"/>
                <w:color w:val="000000" w:themeColor="text1"/>
                <w:sz w:val="20"/>
                <w:szCs w:val="20"/>
                <w:lang w:val="fr-FR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0"/>
                <w:szCs w:val="20"/>
                <w:lang w:val="fr-FR"/>
              </w:rPr>
              <m:t>Vcdp</m:t>
            </m:r>
          </m:e>
        </m:rad>
      </m:oMath>
      <w:r w:rsidRPr="00276340">
        <w:rPr>
          <w:rFonts w:ascii="Times New Roman" w:hAnsi="Times New Roman" w:cs="Times New Roman"/>
          <w:color w:val="000000" w:themeColor="text1"/>
          <w:sz w:val="20"/>
          <w:szCs w:val="20"/>
          <w:u w:color="231F20"/>
          <w:lang w:val="fr-FR"/>
        </w:rPr>
        <w:t>) x 100)</w:t>
      </w:r>
      <w:r w:rsidRPr="00276340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; RDV: pourcentage de volume de la couronne incluant dentine et pulpe (Vcdp/Vc x100); et complexité relative de la surface externe de l'émail (OES/EDJ). </w:t>
      </w:r>
    </w:p>
    <w:p w:rsidR="00D66DAB" w:rsidRPr="00D66DAB" w:rsidRDefault="00D66DAB" w:rsidP="00D66D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</w:pPr>
    </w:p>
    <w:p w:rsidR="00E32B42" w:rsidRPr="00D66DAB" w:rsidRDefault="00E32B42" w:rsidP="00E32B42">
      <w:pPr>
        <w:rPr>
          <w:rFonts w:ascii="Times New Roman" w:hAnsi="Times New Roman" w:cs="Times New Roman"/>
          <w:sz w:val="20"/>
          <w:szCs w:val="20"/>
          <w:lang w:val="fr-FR"/>
        </w:rPr>
      </w:pPr>
    </w:p>
    <w:p w:rsidR="00E32B42" w:rsidRPr="00D66DAB" w:rsidRDefault="00E32B42" w:rsidP="00E32B42">
      <w:pPr>
        <w:rPr>
          <w:rFonts w:ascii="Times New Roman" w:hAnsi="Times New Roman" w:cs="Times New Roman"/>
          <w:sz w:val="20"/>
          <w:szCs w:val="20"/>
          <w:lang w:val="fr-FR"/>
        </w:rPr>
      </w:pPr>
    </w:p>
    <w:p w:rsidR="00E32B42" w:rsidRPr="00D66DAB" w:rsidRDefault="00E32B42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D66DAB">
        <w:rPr>
          <w:rFonts w:ascii="Times New Roman" w:hAnsi="Times New Roman" w:cs="Times New Roman"/>
          <w:b/>
          <w:color w:val="000000" w:themeColor="text1"/>
          <w:lang w:val="fr-FR"/>
        </w:rPr>
        <w:br w:type="page"/>
      </w:r>
    </w:p>
    <w:p w:rsidR="00676C1B" w:rsidRDefault="00E32B42" w:rsidP="00F44F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D66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Table B.2.</w:t>
      </w:r>
      <w:r w:rsidRPr="00FD6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Descriptive statistics of the indices obtained from the measurement assessed on the lower canines with a wear stage greater than 3 </w:t>
      </w:r>
      <w:r w:rsidRPr="00FD66F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(Molnar, 1971)</w:t>
      </w:r>
      <w:r w:rsidRPr="00FD66F1">
        <w:rPr>
          <w:rFonts w:ascii="Times New Roman" w:hAnsi="Times New Roman" w:cs="Times New Roman"/>
          <w:color w:val="000000" w:themeColor="text1"/>
          <w:sz w:val="20"/>
          <w:szCs w:val="20"/>
        </w:rPr>
        <w:t>. SD: standard deviation. Var. (%): percentage of variation between the means of each worn stage with regard to the slightly worn teeth [(µ</w:t>
      </w:r>
      <w:r w:rsidRPr="00FD66F1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i</w:t>
      </w:r>
      <w:r w:rsidRPr="00FD66F1">
        <w:rPr>
          <w:rFonts w:ascii="Times New Roman" w:hAnsi="Times New Roman" w:cs="Times New Roman"/>
          <w:color w:val="000000" w:themeColor="text1"/>
          <w:sz w:val="20"/>
          <w:szCs w:val="20"/>
        </w:rPr>
        <w:t>-µ</w:t>
      </w:r>
      <w:r w:rsidRPr="00FD66F1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1-3</w:t>
      </w:r>
      <w:r w:rsidRPr="00FD66F1">
        <w:rPr>
          <w:rFonts w:ascii="Times New Roman" w:hAnsi="Times New Roman" w:cs="Times New Roman"/>
          <w:color w:val="000000" w:themeColor="text1"/>
          <w:sz w:val="20"/>
          <w:szCs w:val="20"/>
        </w:rPr>
        <w:t>)/µ</w:t>
      </w:r>
      <w:r w:rsidRPr="00FD66F1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 xml:space="preserve">1-3 </w:t>
      </w:r>
      <w:r w:rsidRPr="00FD66F1">
        <w:rPr>
          <w:rFonts w:ascii="Times New Roman" w:hAnsi="Times New Roman" w:cs="Times New Roman"/>
          <w:color w:val="000000" w:themeColor="text1"/>
          <w:sz w:val="20"/>
          <w:szCs w:val="20"/>
        </w:rPr>
        <w:t>x100); i: wear stage].</w:t>
      </w:r>
    </w:p>
    <w:p w:rsidR="00E32B42" w:rsidRPr="00FD66F1" w:rsidRDefault="00676C1B" w:rsidP="00F44F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</w:pPr>
      <w:r w:rsidRPr="00A7151F"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 xml:space="preserve">Tableau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fr-FR"/>
        </w:rPr>
        <w:t>B.2.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</w:t>
      </w:r>
      <w:r w:rsidR="00E32B42" w:rsidRPr="00676C1B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Statistiques descriptives des indices obtenus à partir de la mesure évaluée sur les canines inférieures avec un état d'usure supérieur à 3 (Molnar, 1971).</w:t>
      </w:r>
      <w:r w:rsidR="00F44FC1" w:rsidRPr="00676C1B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</w:t>
      </w:r>
      <w:r w:rsidR="00E32B42" w:rsidRPr="00FD66F1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SD: écart-type. Var. (%):pourcentage de variation entre les moyennes de chaque stade d'usure par rapport aux dents légèrement usées [(µ</w:t>
      </w:r>
      <w:r w:rsidR="00E32B42" w:rsidRPr="00FD66F1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fr-FR"/>
        </w:rPr>
        <w:t>i</w:t>
      </w:r>
      <w:r w:rsidR="00E32B42" w:rsidRPr="00FD66F1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-µ</w:t>
      </w:r>
      <w:r w:rsidR="00E32B42" w:rsidRPr="00FD66F1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fr-FR"/>
        </w:rPr>
        <w:t>1-3</w:t>
      </w:r>
      <w:r w:rsidR="00E32B42" w:rsidRPr="00FD66F1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)/µ</w:t>
      </w:r>
      <w:r w:rsidR="00E32B42" w:rsidRPr="00FD66F1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fr-FR"/>
        </w:rPr>
        <w:t xml:space="preserve">1-3 </w:t>
      </w:r>
      <w:r w:rsidR="00E32B42" w:rsidRPr="00FD66F1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x100); i: stade d’usure].</w:t>
      </w:r>
    </w:p>
    <w:p w:rsidR="00E32B42" w:rsidRPr="00FD66F1" w:rsidRDefault="00E32B42" w:rsidP="00E32B42">
      <w:pPr>
        <w:pStyle w:val="BodyText"/>
        <w:spacing w:after="0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0"/>
          <w:szCs w:val="20"/>
          <w:lang w:val="fr-FR" w:eastAsia="en-US" w:bidi="ar-SA"/>
        </w:rPr>
      </w:pPr>
    </w:p>
    <w:p w:rsidR="00E32B42" w:rsidRPr="00FD66F1" w:rsidRDefault="00E32B42" w:rsidP="00E32B4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1404"/>
        <w:gridCol w:w="1404"/>
        <w:gridCol w:w="1082"/>
        <w:gridCol w:w="1124"/>
        <w:gridCol w:w="1124"/>
        <w:gridCol w:w="1082"/>
      </w:tblGrid>
      <w:tr w:rsidR="00E32B42" w:rsidRPr="00FD66F1" w:rsidTr="00400B02">
        <w:trPr>
          <w:trHeight w:val="300"/>
        </w:trPr>
        <w:tc>
          <w:tcPr>
            <w:tcW w:w="82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B42" w:rsidRPr="00FD66F1" w:rsidRDefault="00E32B42" w:rsidP="00400B02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Population/ Site</w:t>
            </w:r>
          </w:p>
        </w:tc>
        <w:tc>
          <w:tcPr>
            <w:tcW w:w="81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B42" w:rsidRPr="00FD66F1" w:rsidRDefault="00E32B42" w:rsidP="00400B0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Wear Stage</w:t>
            </w:r>
          </w:p>
        </w:tc>
        <w:tc>
          <w:tcPr>
            <w:tcW w:w="81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2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3DAET</w:t>
            </w:r>
          </w:p>
        </w:tc>
        <w:tc>
          <w:tcPr>
            <w:tcW w:w="65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3DRET</w:t>
            </w:r>
          </w:p>
        </w:tc>
        <w:tc>
          <w:tcPr>
            <w:tcW w:w="65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Vcdp/Vc</w:t>
            </w:r>
          </w:p>
        </w:tc>
        <w:tc>
          <w:tcPr>
            <w:tcW w:w="62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OES/</w:t>
            </w: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EDJS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Mean (SD)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15.83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54.01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1.36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-3.95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6.38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-3.74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0.74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MH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Mean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0.69 (0.13)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14.73 (2.99)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57.67 (6.74)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1.34 (0.15)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-13.29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-11.27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6.57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-6.47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Mean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0.64 (0.08)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12.53 (2.35)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63.92 (5.52)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1.32 (0.09)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-15.35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-15.77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13.93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-2.22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Krapina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Mean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0.59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9.71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68.76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1.25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-24.36</w:t>
            </w:r>
          </w:p>
        </w:tc>
        <w:tc>
          <w:tcPr>
            <w:tcW w:w="6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-25.65</w:t>
            </w:r>
          </w:p>
        </w:tc>
        <w:tc>
          <w:tcPr>
            <w:tcW w:w="6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13.88</w:t>
            </w:r>
          </w:p>
        </w:tc>
        <w:tc>
          <w:tcPr>
            <w:tcW w:w="6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-8.09</w:t>
            </w:r>
          </w:p>
        </w:tc>
      </w:tr>
      <w:tr w:rsidR="00E32B42" w:rsidRPr="00FD66F1" w:rsidTr="00400B02">
        <w:trPr>
          <w:trHeight w:val="174"/>
        </w:trPr>
        <w:tc>
          <w:tcPr>
            <w:tcW w:w="82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MH</w:t>
            </w:r>
          </w:p>
        </w:tc>
        <w:tc>
          <w:tcPr>
            <w:tcW w:w="8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8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Mean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0.67 (0.09)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14.51 (2.22)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57.92 (4.53)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1.38 (0.06)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-15.19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-12.61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7.04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-3.64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SH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Mean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0.59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10.53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68.79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1.26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-22.37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-29.23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22.60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-6.67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Krapina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spacing w:before="1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Mean </w:t>
            </w:r>
          </w:p>
        </w:tc>
        <w:tc>
          <w:tcPr>
            <w:tcW w:w="6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0.52</w:t>
            </w:r>
          </w:p>
        </w:tc>
        <w:tc>
          <w:tcPr>
            <w:tcW w:w="6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8.58</w:t>
            </w:r>
          </w:p>
        </w:tc>
        <w:tc>
          <w:tcPr>
            <w:tcW w:w="6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72.90</w:t>
            </w:r>
          </w:p>
        </w:tc>
        <w:tc>
          <w:tcPr>
            <w:tcW w:w="6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1.24</w:t>
            </w:r>
          </w:p>
        </w:tc>
      </w:tr>
      <w:tr w:rsidR="00E32B42" w:rsidRPr="00FD66F1" w:rsidTr="00400B02">
        <w:trPr>
          <w:trHeight w:val="300"/>
        </w:trPr>
        <w:tc>
          <w:tcPr>
            <w:tcW w:w="8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Var. (%)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-33.33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-34.30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20.74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E32B42" w:rsidRPr="00FD66F1" w:rsidRDefault="00E32B42" w:rsidP="00400B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FD6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-8.82</w:t>
            </w:r>
          </w:p>
        </w:tc>
      </w:tr>
    </w:tbl>
    <w:p w:rsidR="00E32B42" w:rsidRPr="00FD66F1" w:rsidRDefault="00E32B42" w:rsidP="00E32B42">
      <w:pPr>
        <w:rPr>
          <w:rFonts w:ascii="Times New Roman" w:hAnsi="Times New Roman" w:cs="Times New Roman"/>
          <w:sz w:val="20"/>
          <w:szCs w:val="20"/>
        </w:rPr>
      </w:pPr>
    </w:p>
    <w:p w:rsidR="00F44FC1" w:rsidRDefault="00F44FC1" w:rsidP="00F44FC1">
      <w:pPr>
        <w:widowControl/>
        <w:suppressAutoHyphens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FD66F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3DAET: 3-D average enamel thickness index (Ve/EDJS, mm); 3DRET: the 3-D relative enamel thickness index (</w:t>
      </w:r>
      <w:r w:rsidRPr="00FD66F1">
        <w:rPr>
          <w:rFonts w:ascii="Times New Roman" w:hAnsi="Times New Roman" w:cs="Times New Roman"/>
          <w:color w:val="000000" w:themeColor="text1"/>
          <w:sz w:val="20"/>
          <w:szCs w:val="20"/>
          <w:u w:color="231F20"/>
          <w:lang w:val="en-US"/>
        </w:rPr>
        <w:t>3DAET/</w:t>
      </w:r>
      <m:oMath>
        <m:rad>
          <m:radPr>
            <m:ctrlPr>
              <w:rPr>
                <w:rFonts w:ascii="Cambria Math" w:hAnsi="Times New Roman" w:cs="Times New Roman"/>
                <w:color w:val="000000" w:themeColor="text1"/>
                <w:sz w:val="20"/>
                <w:szCs w:val="20"/>
              </w:rPr>
            </m:ctrlPr>
          </m:radPr>
          <m:deg>
            <m:r>
              <w:rPr>
                <w:rFonts w:ascii="Cambria Math" w:hAnsi="Times New Roman" w:cs="Times New Roman"/>
                <w:color w:val="000000" w:themeColor="text1"/>
                <w:sz w:val="20"/>
                <w:szCs w:val="20"/>
                <w:lang w:val="en-US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0"/>
                <w:szCs w:val="20"/>
                <w:lang w:val="en-US"/>
              </w:rPr>
              <m:t>Vcdp</m:t>
            </m:r>
          </m:e>
        </m:rad>
      </m:oMath>
      <w:r w:rsidRPr="00FD66F1">
        <w:rPr>
          <w:rFonts w:ascii="Times New Roman" w:hAnsi="Times New Roman" w:cs="Times New Roman"/>
          <w:color w:val="000000" w:themeColor="text1"/>
          <w:sz w:val="20"/>
          <w:szCs w:val="20"/>
          <w:u w:color="231F20"/>
          <w:lang w:val="en-US"/>
        </w:rPr>
        <w:t>) x 100);</w:t>
      </w:r>
      <w:r w:rsidRPr="00FD66F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RDV: relative dentine volume defined as the percentage of coronal volume that is dentine and pulp (Vcdp/Vc x100); and relative outer enamel complexity (OES/EDJ, free scale).</w:t>
      </w:r>
      <w:r w:rsidRPr="00F44FC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</w:p>
    <w:p w:rsidR="00E32B42" w:rsidRPr="00F44FC1" w:rsidRDefault="00F44FC1" w:rsidP="00F44FC1">
      <w:pPr>
        <w:widowControl/>
        <w:suppressAutoHyphens w:val="0"/>
        <w:spacing w:after="200" w:line="276" w:lineRule="auto"/>
        <w:jc w:val="both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FD66F1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>3DAET: indice moyen d'épaisseur 3-D de l'émail (Ve/EDJS, mm); 3DRET: indice relatif d'épaisseur 3-D de l'émail (</w:t>
      </w:r>
      <w:r w:rsidRPr="00FD66F1">
        <w:rPr>
          <w:rFonts w:ascii="Times New Roman" w:hAnsi="Times New Roman" w:cs="Times New Roman"/>
          <w:color w:val="000000" w:themeColor="text1"/>
          <w:sz w:val="20"/>
          <w:szCs w:val="20"/>
          <w:u w:color="231F20"/>
          <w:lang w:val="fr-FR"/>
        </w:rPr>
        <w:t>3DAET/</w:t>
      </w:r>
      <m:oMath>
        <m:rad>
          <m:radPr>
            <m:ctrlPr>
              <w:rPr>
                <w:rFonts w:ascii="Cambria Math" w:hAnsi="Times New Roman" w:cs="Times New Roman"/>
                <w:color w:val="000000" w:themeColor="text1"/>
                <w:sz w:val="20"/>
                <w:szCs w:val="20"/>
              </w:rPr>
            </m:ctrlPr>
          </m:radPr>
          <m:deg>
            <m:r>
              <w:rPr>
                <w:rFonts w:ascii="Cambria Math" w:hAnsi="Times New Roman" w:cs="Times New Roman"/>
                <w:color w:val="000000" w:themeColor="text1"/>
                <w:sz w:val="20"/>
                <w:szCs w:val="20"/>
                <w:lang w:val="fr-FR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Times New Roman" w:cs="Times New Roman"/>
                <w:color w:val="000000" w:themeColor="text1"/>
                <w:sz w:val="20"/>
                <w:szCs w:val="20"/>
                <w:lang w:val="fr-FR"/>
              </w:rPr>
              <m:t>Vcdp</m:t>
            </m:r>
          </m:e>
        </m:rad>
      </m:oMath>
      <w:r w:rsidRPr="00FD66F1">
        <w:rPr>
          <w:rFonts w:ascii="Times New Roman" w:hAnsi="Times New Roman" w:cs="Times New Roman"/>
          <w:color w:val="000000" w:themeColor="text1"/>
          <w:sz w:val="20"/>
          <w:szCs w:val="20"/>
          <w:u w:color="231F20"/>
          <w:lang w:val="fr-FR"/>
        </w:rPr>
        <w:t>) x 100);</w:t>
      </w:r>
      <w:r w:rsidRPr="00FD66F1">
        <w:rPr>
          <w:rFonts w:ascii="Times New Roman" w:hAnsi="Times New Roman" w:cs="Times New Roman"/>
          <w:color w:val="000000" w:themeColor="text1"/>
          <w:sz w:val="20"/>
          <w:szCs w:val="20"/>
          <w:lang w:val="fr-FR"/>
        </w:rPr>
        <w:t xml:space="preserve"> RDV: pourcentage de volume de la couronne incluant dentine et pulpe (Vcdp/Vc x100); et complexité relative de la surface externe de l'émail (OES/EDJ).</w:t>
      </w:r>
    </w:p>
    <w:p w:rsidR="00E32B42" w:rsidRPr="00F44FC1" w:rsidRDefault="00E32B42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F44FC1">
        <w:rPr>
          <w:rFonts w:ascii="Times New Roman" w:hAnsi="Times New Roman" w:cs="Times New Roman"/>
          <w:b/>
          <w:color w:val="000000" w:themeColor="text1"/>
          <w:lang w:val="fr-FR"/>
        </w:rPr>
        <w:br w:type="page"/>
      </w:r>
    </w:p>
    <w:p w:rsidR="00286942" w:rsidRDefault="00E32B42">
      <w:pPr>
        <w:rPr>
          <w:rFonts w:ascii="Times New Roman" w:hAnsi="Times New Roman" w:cs="Times New Roman"/>
          <w:b/>
          <w:color w:val="000000" w:themeColor="text1"/>
        </w:rPr>
      </w:pPr>
      <w:r w:rsidRPr="00E32B42">
        <w:rPr>
          <w:rFonts w:ascii="Times New Roman" w:hAnsi="Times New Roman" w:cs="Times New Roman"/>
          <w:b/>
          <w:color w:val="000000" w:themeColor="text1"/>
        </w:rPr>
        <w:t>References Supplementary Material</w:t>
      </w:r>
    </w:p>
    <w:p w:rsidR="00206700" w:rsidRDefault="00206700" w:rsidP="00206700">
      <w:pPr>
        <w:pStyle w:val="Default"/>
        <w:rPr>
          <w:sz w:val="23"/>
          <w:szCs w:val="23"/>
          <w:lang w:val="en-US"/>
        </w:rPr>
      </w:pP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Arnold, L.J., Demuro, M., 2015.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>Insights into TT-OSL signal stability from single-grain analyses of known-age deposits at Atapuerca, Spain. Quat. Geochronol., LED14 Proceedings 30, 472-478. https://doi.org/10.1016/j.quageo.2015.02.005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>Arnold, L.J., Demuro, M., Parés, J.M., Arsuaga, J.L., Aranburu, A., Bermúdez de Castro, J.M., Carbonell, E., 2014. Luminescence dating and palaeomagnetic age constraint on hominins from Sima de los Huesos, Atapuerca, Spain. J. Hum. Evol. 67, 85-107. https://doi.org/10.1016/j.jhevol.2013.12.001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>Arsuaga, J.L., Martínez, I., Arnold, L.J., Aranburu, A., Gracia-Téllez, A., Sharp, W.D., Quam, R.M., Falguères, C., Pantoja-Pérez, A., Bischoff, J., Poza-Rey, E., Parés, J.M., Carretero, J.M., Demuro, M., Lorenzo, C., Sala, N., Martinón-Torres, M., García, N., Velasco, A.A. de, Cuenca-Bescós, G., Gómez-Olivencia, A., Moreno, D., Pablos, A., Shen, C.-C., Rodríguez, L., Ortega, A.I., García, R., Bonmatí, A., Castro, J.M.B. de, Carbonell, E., 2014. Neandertal roots: Cranial and chronological evidence from Sima de los Huesos. Science 344, 1358-1363. https://doi.org/10.1126/science.1253958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Arsuaga, J.L., Martínez, I., Gracia, A., Lorenzo, C., 1997.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The Sima de los Huesos crania (Sierra de Atapuerca, Spain). A comparative study. J. Hum. Evol. 33, 219-281.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Berger, G.W., Pérez-González, A., Carbonell, E., Arsuaga, J.L., Bermúdez de Castro, J.M., Ku, T.-L., 2008.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>Luminescence chronology of cave sediments at the Atapuerca paleoanthropological site, Spain. J. Hum. Evol. 55, 300-311. https://doi.org/10.1016/j.jhevol.2008.02.012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Bermúdez de Castro, J.M., Carbonell, E., Cáceres, I., Díez, J.C., Fernández-Jalvo, Y., Mosquera, M., Ollé, A., Rodríguez, J., Rodríguez, X.P., Rosas, A., Rosell, J., Sala, R., Vergés, J.M., van der Made, J., 1999b. The TD6 (Aurora stratum) hominid site. Final remarks and new questions.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J. Hum. Evol. 37, 695-700. https://doi.org/10.1006/jhev.1999.0334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Bermúdez de Castro, J.M., Martinón-Torres, M., Sarmiento, S., Lozano, M., 2003. Gran Dolina-TD6 versus Sima de los Huesos dental samples from Atapuerca: Evidence of discontinuity in the European Pleistocene population? J. Archaeol. Sci. 30, 1421-1428. https://doi.org/10.1016/S0305-4403(03)00036-0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Bischoff, J.L., Fitzpatrick, J.A., León, L., Arsuaga, J.L., Falgueres, C., Bahain, J.J., Bullen, T., 1997.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>Geology and preliminary dating of the hominid-bearing sedimentary fill of the Sima de los Huesos Chamber, Cueva Mayor of the Sierra de Atapuerca, Burgos, Spain. J. Hum. Evol. 33, 129-154. https://doi.org/10.1006/jhev.1997.0130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>Bischoff, J.L., Shamp, D.D., Aramburu, A., Arsuaga, J.L., Carbonell, E., Bermúdez de Castro, J.M., 2003. The Sima de los Huesos hominids date to beyond U/Th equilibrium (&gt;350 kyr) and perhaps to 400-500 kyr: New radiometric dates. J. Archaeol. Sci. 30, 275-280. https://doi.org/doi: 10.1006/jasc.2002.0834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>Brace, C.L., 1979. Krapina, classic Neanderthals, and the evolution of the European face. J. Hum. Evol. 8, 527-550.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Brace, C.L., Agogino, G.A., Brothwell, D.R., Clark, W.E.L.G., Coon, C.S., Farmer, M.F., T., S.G., Givens, R.D., Howell, F.C., Howells, W.W., Von Koenigswald, G.H.R., Kurth, G., Montagu, A., Müller-Beck, H., Narr, K.J., Thoma, A., Tobias, P.V., Weckler, J.E., 1964. The fate of the “classic” Neanderthals: A consideration of hominid catastrophism [and Comments and Reply].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Curr. Anthropol. 5, 3-43.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Campaña, I., Benito-Calvo, A., Pérez-González, A., Ortega, A.I., Bermúdez de Castro, J.M., Carbonell, E., 2017. Pleistocene sedimentary facies of the Gran Dolina archaeo-paleoanthropological site (Sierra de Atapuerca, Burgos, Spain). Quat. Int. 433, 68-84. https://doi.org/10.1016/j.quaint.2015.04.023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Carbonell, E., Arsuaga, J.L., Bermúdez de Castro, J.M., Cáceres, I., Díez, C., Fernández-Jalvo, Y., Mosquera, M., Rodríguez, X.P., Rosell, J., Sala, R., Vallverdú, J., 1999. L’</w:t>
      </w:r>
      <w:r w:rsidRPr="00FC68D2">
        <w:rPr>
          <w:rFonts w:ascii="Times New Roman" w:hAnsi="Times New Roman" w:cs="Times New Roman"/>
          <w:i/>
          <w:color w:val="000000" w:themeColor="text1"/>
          <w:sz w:val="20"/>
          <w:szCs w:val="20"/>
          <w:lang w:val="es-ES"/>
        </w:rPr>
        <w:t>Homo antecessor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 i el seu medi natural. Com eren i com vivien els europeus més antics. In: Durfort i Coll, M. (Ed.): Ciència i Cultura Al Llindar Del Segle XXI : Cicle de Conferències. L’Institut d’Estudis Catalans, Barcelona, pp. 9-20.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Cuenca-Bescós, G., Laplana, C., Canudo, J.I., 1999.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Biochronological implications of the Arvicolidae (Rodentia, Mammalia) from the Lower Pleistocene hominid-bearing level of Trinchera Dolina 6 (TD6, Atapuerca, Spain).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J. Hum. Evol. 37, 353-373. https://doi.org/10.1006/jhev.1999.0306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Cuenca-Bescós, G., Laplana Conesa, C., Canudo, J.I., Arsuaga, J.L., 1997. Small mammals from Sima de los Huesos. J. Hum. Evol. 33, 175-190. https://doi.org/10.1006/jhev.1997.0153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Duval, M., Grün, R., Parés, J.M., Martín-Francés, L., Campaña, I., Rosell, J., Shao, Q., Arsuaga, J.L., Carbonell, E., Bermúdez de Castro, J.M., 2018.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first direct ESR analysis of a hominin tooth from Atapuerca Gran Dolina TD-6 (Spain) supports the antiquity of </w:t>
      </w:r>
      <w:r w:rsidRPr="00FC68D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Homo antecessor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Quat. Geochron. </w:t>
      </w:r>
      <w:hyperlink r:id="rId5" w:history="1">
        <w:r w:rsidRPr="00FC68D2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https://doi.org/10.1016/j.quageo.2018.05.001</w:t>
        </w:r>
      </w:hyperlink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García, N., Arsuaga, J.L., 1999.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Carnivores from the Early Pleistocene hominid-bearing Trinchera Dolina 6 (Sierra de Atapuerca, Spain).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J. Hum. Evol. 37, 415-430. https://doi.org/10.1006/jhev.1999.0325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García, N., Arsuaga, J.L., 2011.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Sima de los Huesos (Burgos, northern Spain): Palaeoenvironment and habitats of </w:t>
      </w:r>
      <w:r w:rsidRPr="00FC68D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Homo heidelbergensis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the Middle Pleistocene.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Quat. Sci. Rev. 30, 1413-1419. https://doi.org/10.1016/j.quascirev.2010.11.008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Gil, E., Aguirre, E., Hoyos, M., 1987. Contexto estratigráfico. In: Junta de Castilla y León (Ed.), El Hombre fósil de Ibeas y El Pleistoceno de La Sierra de Atapuerca. Junta de Castilla y León, Valladolid.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Gorjaniociĉ-Kramberger, D., 1906. Der diluviale Mensch von Krapina in Kroatien: Ein Beitrag zur Paläoanthropologie.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Malez, M., 1970.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>Novi pogledi na stratigrafiju Krapinskog nalazisˇta, in: Krapina 1899-1969. Jugoslav. Akad. Znan. Umjetn., Zagreb, pp. 13-33.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Moreno, D., Falguères, C., Pérez-González, A., Voinchet, P., Ghaleb, B., Despriée, J., Bahain, J.-J., Sala, R., Carbonell, E., Bermúdez de Castro, J.M., Arsuaga, J.L., 2015.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New radiometric dates on the lowest stratigraphical section (TD1 to TD6) of Gran Dolina site (Atapuerca, Spain).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>Quat. Geochron. 30, 535-540. https://doi.org/10.1016/j.quageo.2015.05.007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Parés, J.M., Pérez-González, A., 1995.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Paleomagnetic Age for hominid fossils at Atapuerca archaeological site, Spain.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Science 269, 830-832.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s-ES"/>
        </w:rPr>
        <w:t xml:space="preserve">Parés, J.M., Pérez-González, A., 1999.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>Magnetochronology and stratigraphy at Gran Dolina section, Atapuerca (Burgos, Spain). J. Hum. Evol. 37, 325-342. https://doi.org/10.1006/jhev.1999.0331</w:t>
      </w:r>
    </w:p>
    <w:p w:rsidR="00206700" w:rsidRPr="00FC68D2" w:rsidRDefault="00206700" w:rsidP="00FC68D2">
      <w:pPr>
        <w:widowControl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0"/>
          <w:szCs w:val="20"/>
          <w:lang w:eastAsia="en-US" w:bidi="ar-SA"/>
        </w:rPr>
      </w:pPr>
      <w:r w:rsidRPr="00FC68D2">
        <w:rPr>
          <w:rFonts w:ascii="Times New Roman" w:eastAsiaTheme="minorHAnsi" w:hAnsi="Times New Roman" w:cs="Times New Roman"/>
          <w:color w:val="000000" w:themeColor="text1"/>
          <w:kern w:val="0"/>
          <w:sz w:val="20"/>
          <w:szCs w:val="20"/>
          <w:lang w:eastAsia="en-US" w:bidi="ar-SA"/>
        </w:rPr>
        <w:t>Radovčić, J., Smith, F.H., Trinkaus, E., Wolpoff, M.H., 1988. The Krapina hominids. An illustrated catalog of skeletal collection. Croatian Natural History Museum, Zagreb.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Rink, W.J., Schwarcz, H.P., Smith, F.H., </w:t>
      </w:r>
      <w:r w:rsidRPr="00FC68D2">
        <w:rPr>
          <w:rFonts w:ascii="Times New Roman" w:eastAsiaTheme="minorHAnsi" w:hAnsi="Times New Roman" w:cs="Times New Roman"/>
          <w:color w:val="000000" w:themeColor="text1"/>
          <w:kern w:val="0"/>
          <w:sz w:val="20"/>
          <w:szCs w:val="20"/>
          <w:lang w:eastAsia="en-US" w:bidi="ar-SA"/>
        </w:rPr>
        <w:t>Radovčić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1995. ESR ages for Krapina hominids. </w:t>
      </w:r>
      <w:r w:rsidRPr="00FC68D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Nature 378, 24.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>Smith, P., 1976. Dental pathology in fossil hominids: What did Neanderthals do with their teeth? Curr. Anthropol. 17, 149-151.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>Van der Made, J., 1999. Ungulates from Atapuerca TD6. J. Hum. Evol. 37, 389-413. https://doi.org/10.1006/jhev.1998.0264</w:t>
      </w:r>
    </w:p>
    <w:p w:rsidR="00206700" w:rsidRPr="00FC68D2" w:rsidRDefault="00206700" w:rsidP="00FC68D2">
      <w:pPr>
        <w:pStyle w:val="Bibliography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68D2">
        <w:rPr>
          <w:rFonts w:ascii="Times New Roman" w:hAnsi="Times New Roman" w:cs="Times New Roman"/>
          <w:color w:val="000000" w:themeColor="text1"/>
          <w:sz w:val="20"/>
          <w:szCs w:val="20"/>
        </w:rPr>
        <w:t>Wolpoff, M.H., 1979. The Krapina dental remains. Am. J. Phys. Anthropol. 50, 67-113. https://doi.org/10.1002/ajpa.1330500110</w:t>
      </w:r>
    </w:p>
    <w:p w:rsidR="00206700" w:rsidRDefault="00206700" w:rsidP="00FC68D2">
      <w:pPr>
        <w:rPr>
          <w:rFonts w:ascii="Times New Roman" w:hAnsi="Times New Roman" w:cs="Times New Roman"/>
          <w:b/>
          <w:color w:val="000000" w:themeColor="text1"/>
        </w:rPr>
      </w:pPr>
    </w:p>
    <w:p w:rsidR="00206700" w:rsidRPr="00E32B42" w:rsidRDefault="00206700" w:rsidP="00206700">
      <w:pPr>
        <w:rPr>
          <w:rFonts w:ascii="Times New Roman" w:hAnsi="Times New Roman" w:cs="Times New Roman"/>
          <w:b/>
          <w:color w:val="000000" w:themeColor="text1"/>
        </w:rPr>
      </w:pPr>
    </w:p>
    <w:sectPr w:rsidR="00206700" w:rsidRPr="00E32B42" w:rsidSect="00286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dvP66F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42"/>
    <w:rsid w:val="001539C1"/>
    <w:rsid w:val="00206700"/>
    <w:rsid w:val="00286942"/>
    <w:rsid w:val="00341F9C"/>
    <w:rsid w:val="00370979"/>
    <w:rsid w:val="003D194C"/>
    <w:rsid w:val="004C641E"/>
    <w:rsid w:val="00676C1B"/>
    <w:rsid w:val="006A63F7"/>
    <w:rsid w:val="0073215D"/>
    <w:rsid w:val="008142C5"/>
    <w:rsid w:val="008929E7"/>
    <w:rsid w:val="00A520FC"/>
    <w:rsid w:val="00A65619"/>
    <w:rsid w:val="00A7151F"/>
    <w:rsid w:val="00AA7221"/>
    <w:rsid w:val="00C84A40"/>
    <w:rsid w:val="00D66DAB"/>
    <w:rsid w:val="00E32B42"/>
    <w:rsid w:val="00F11DEF"/>
    <w:rsid w:val="00F44FC1"/>
    <w:rsid w:val="00FC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4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32B42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E32B42"/>
    <w:rPr>
      <w:rFonts w:ascii="Liberation Serif" w:eastAsia="Droid Sans Fallback" w:hAnsi="Liberation Serif" w:cs="Mangal"/>
      <w:kern w:val="1"/>
      <w:sz w:val="24"/>
      <w:szCs w:val="21"/>
      <w:lang w:val="en-GB" w:eastAsia="zh-CN" w:bidi="hi-IN"/>
    </w:rPr>
  </w:style>
  <w:style w:type="character" w:styleId="Emphasis">
    <w:name w:val="Emphasis"/>
    <w:basedOn w:val="DefaultParagraphFont"/>
    <w:uiPriority w:val="20"/>
    <w:qFormat/>
    <w:rsid w:val="00E32B42"/>
    <w:rPr>
      <w:i/>
      <w:iCs/>
    </w:rPr>
  </w:style>
  <w:style w:type="paragraph" w:customStyle="1" w:styleId="Default">
    <w:name w:val="Default"/>
    <w:rsid w:val="0020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206700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4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32B42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E32B42"/>
    <w:rPr>
      <w:rFonts w:ascii="Liberation Serif" w:eastAsia="Droid Sans Fallback" w:hAnsi="Liberation Serif" w:cs="Mangal"/>
      <w:kern w:val="1"/>
      <w:sz w:val="24"/>
      <w:szCs w:val="21"/>
      <w:lang w:val="en-GB" w:eastAsia="zh-CN" w:bidi="hi-IN"/>
    </w:rPr>
  </w:style>
  <w:style w:type="character" w:styleId="Emphasis">
    <w:name w:val="Emphasis"/>
    <w:basedOn w:val="DefaultParagraphFont"/>
    <w:uiPriority w:val="20"/>
    <w:qFormat/>
    <w:rsid w:val="00E32B42"/>
    <w:rPr>
      <w:i/>
      <w:iCs/>
    </w:rPr>
  </w:style>
  <w:style w:type="paragraph" w:customStyle="1" w:styleId="Default">
    <w:name w:val="Default"/>
    <w:rsid w:val="0020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20670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oi.org/10.1016/j.quageo.2018.05.001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2589</Words>
  <Characters>14760</Characters>
  <Application>Microsoft Macintosh Word</Application>
  <DocSecurity>4</DocSecurity>
  <Lines>123</Lines>
  <Paragraphs>34</Paragraphs>
  <ScaleCrop>false</ScaleCrop>
  <Company>Hewlett-Packard Company</Company>
  <LinksUpToDate>false</LinksUpToDate>
  <CharactersWithSpaces>17315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Kajal Pradhan</cp:lastModifiedBy>
  <cp:revision>2</cp:revision>
  <dcterms:created xsi:type="dcterms:W3CDTF">2018-11-29T07:52:00Z</dcterms:created>
  <dcterms:modified xsi:type="dcterms:W3CDTF">2018-11-29T07:52:00Z</dcterms:modified>
</cp:coreProperties>
</file>