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B8" w:rsidRPr="00141AE8" w:rsidRDefault="006913B8" w:rsidP="006913B8">
      <w:pPr>
        <w:spacing w:line="360" w:lineRule="auto"/>
        <w:jc w:val="both"/>
        <w:rPr>
          <w:rFonts w:asciiTheme="minorHAnsi" w:hAnsiTheme="minorHAnsi"/>
          <w:b/>
          <w:szCs w:val="24"/>
        </w:rPr>
      </w:pPr>
      <w:r w:rsidRPr="00141AE8">
        <w:rPr>
          <w:rFonts w:asciiTheme="minorHAnsi" w:hAnsiTheme="minorHAnsi"/>
          <w:b/>
          <w:szCs w:val="24"/>
        </w:rPr>
        <w:t>SI2 Cross-sectional geometry (CSG)</w:t>
      </w:r>
    </w:p>
    <w:p w:rsidR="006913B8" w:rsidRPr="00141AE8" w:rsidRDefault="006913B8" w:rsidP="006913B8">
      <w:pPr>
        <w:spacing w:line="360" w:lineRule="auto"/>
        <w:jc w:val="both"/>
        <w:rPr>
          <w:rFonts w:asciiTheme="minorHAnsi" w:hAnsiTheme="minorHAnsi"/>
          <w:b/>
          <w:szCs w:val="24"/>
        </w:rPr>
      </w:pPr>
    </w:p>
    <w:p w:rsidR="006913B8" w:rsidRPr="00141AE8" w:rsidRDefault="006913B8" w:rsidP="006913B8">
      <w:pPr>
        <w:spacing w:line="360" w:lineRule="auto"/>
        <w:jc w:val="both"/>
        <w:rPr>
          <w:rFonts w:asciiTheme="minorHAnsi" w:hAnsiTheme="minorHAnsi"/>
          <w:b/>
          <w:szCs w:val="24"/>
        </w:rPr>
      </w:pPr>
      <w:r w:rsidRPr="00141AE8">
        <w:rPr>
          <w:rFonts w:asciiTheme="minorHAnsi" w:hAnsiTheme="minorHAnsi"/>
          <w:b/>
          <w:szCs w:val="24"/>
        </w:rPr>
        <w:t xml:space="preserve">I) Details of </w:t>
      </w:r>
      <w:r w:rsidR="001F2E75" w:rsidRPr="00141AE8">
        <w:rPr>
          <w:rFonts w:asciiTheme="minorHAnsi" w:hAnsiTheme="minorHAnsi"/>
          <w:b/>
          <w:szCs w:val="24"/>
        </w:rPr>
        <w:t xml:space="preserve">cross-sectional geometry </w:t>
      </w:r>
      <w:r w:rsidRPr="00141AE8">
        <w:rPr>
          <w:rFonts w:asciiTheme="minorHAnsi" w:hAnsiTheme="minorHAnsi"/>
          <w:b/>
          <w:szCs w:val="24"/>
        </w:rPr>
        <w:t xml:space="preserve">analysis </w:t>
      </w: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r w:rsidRPr="00141AE8">
        <w:rPr>
          <w:rFonts w:asciiTheme="minorHAnsi" w:hAnsiTheme="minorHAnsi"/>
          <w:szCs w:val="24"/>
        </w:rPr>
        <w:t xml:space="preserve">The study of the biomechanical competence of long bones analyzes the cross-sectional geometry (CSG) at specified percentages of bone length (mechanical length, as indicated in Ruff, 2002), using the polar moment of area as a measure of overall bending and </w:t>
      </w:r>
      <w:proofErr w:type="spellStart"/>
      <w:r w:rsidRPr="00141AE8">
        <w:rPr>
          <w:rFonts w:asciiTheme="minorHAnsi" w:hAnsiTheme="minorHAnsi"/>
          <w:szCs w:val="24"/>
        </w:rPr>
        <w:t>torsional</w:t>
      </w:r>
      <w:proofErr w:type="spellEnd"/>
      <w:r w:rsidRPr="00141AE8">
        <w:rPr>
          <w:rFonts w:asciiTheme="minorHAnsi" w:hAnsiTheme="minorHAnsi"/>
          <w:szCs w:val="24"/>
        </w:rPr>
        <w:t xml:space="preserve"> rigidity (Ruff, 2000). The method is based on the widely accepted notion that bone tissue optimizes to its mechanical environment so as to maintain physiological strains within the normal limits [“Wolff’s Law,”, better referred to as “Bone Functional Adaptation” (cf. Pearson and Lieberman, 2004; Ruff et al., 2006b)].  Bone tissue is deposited in the shaft’s cross-section where mechanical loads require it to prevent strains in excess of the elastic limit, whereas below a certain strain threshold, the bone tissue is reabsorbed.</w:t>
      </w:r>
    </w:p>
    <w:p w:rsidR="006913B8" w:rsidRPr="00141AE8" w:rsidRDefault="006913B8" w:rsidP="006913B8">
      <w:pPr>
        <w:spacing w:line="360" w:lineRule="auto"/>
        <w:jc w:val="both"/>
        <w:rPr>
          <w:rFonts w:asciiTheme="minorHAnsi" w:hAnsiTheme="minorHAnsi"/>
          <w:szCs w:val="24"/>
        </w:rPr>
      </w:pPr>
      <w:r w:rsidRPr="00141AE8">
        <w:rPr>
          <w:rFonts w:asciiTheme="minorHAnsi" w:hAnsiTheme="minorHAnsi"/>
          <w:szCs w:val="24"/>
        </w:rPr>
        <w:t xml:space="preserve">In this study, we use mid-shaft and mid-distal cross sections for the </w:t>
      </w:r>
      <w:proofErr w:type="spellStart"/>
      <w:r w:rsidRPr="00141AE8">
        <w:rPr>
          <w:rFonts w:asciiTheme="minorHAnsi" w:hAnsiTheme="minorHAnsi"/>
          <w:szCs w:val="24"/>
        </w:rPr>
        <w:t>humeri</w:t>
      </w:r>
      <w:proofErr w:type="spellEnd"/>
      <w:r w:rsidRPr="00141AE8">
        <w:rPr>
          <w:rFonts w:asciiTheme="minorHAnsi" w:hAnsiTheme="minorHAnsi"/>
          <w:szCs w:val="24"/>
        </w:rPr>
        <w:t>, mid-shaft and mid-proximal sections for the forearm, and mid-shaft sections for the lower limb (femur, tibia, and fibula). When available, cross-sections were reconstructed from both sides of the upper limb, in order to evaluate bilateral asymmetry (see below). Only one side of the lower limb was sampled, with preference to the right side. In the case of BT individuals, all measurements for the lower limb come from the right side elements.</w:t>
      </w:r>
    </w:p>
    <w:p w:rsidR="006913B8" w:rsidRPr="00141AE8" w:rsidRDefault="006913B8" w:rsidP="006913B8">
      <w:pPr>
        <w:spacing w:line="360" w:lineRule="auto"/>
        <w:jc w:val="both"/>
        <w:rPr>
          <w:rFonts w:asciiTheme="minorHAnsi" w:hAnsiTheme="minorHAnsi"/>
          <w:szCs w:val="24"/>
        </w:rPr>
      </w:pPr>
      <w:r w:rsidRPr="00141AE8">
        <w:rPr>
          <w:rFonts w:asciiTheme="minorHAnsi" w:hAnsiTheme="minorHAnsi"/>
          <w:szCs w:val="24"/>
        </w:rPr>
        <w:t xml:space="preserve">By analyzing the cross-sections of the </w:t>
      </w:r>
      <w:proofErr w:type="spellStart"/>
      <w:r w:rsidRPr="00141AE8">
        <w:rPr>
          <w:rFonts w:asciiTheme="minorHAnsi" w:hAnsiTheme="minorHAnsi"/>
          <w:szCs w:val="24"/>
        </w:rPr>
        <w:t>diaphysis</w:t>
      </w:r>
      <w:proofErr w:type="spellEnd"/>
      <w:r w:rsidRPr="00141AE8">
        <w:rPr>
          <w:rFonts w:asciiTheme="minorHAnsi" w:hAnsiTheme="minorHAnsi"/>
          <w:szCs w:val="24"/>
        </w:rPr>
        <w:t xml:space="preserve">, it is therefore possible to obtain variables that correlate with the bending moments (second moments of area: I) and overall </w:t>
      </w:r>
      <w:proofErr w:type="spellStart"/>
      <w:r w:rsidRPr="00141AE8">
        <w:rPr>
          <w:rFonts w:asciiTheme="minorHAnsi" w:hAnsiTheme="minorHAnsi"/>
          <w:szCs w:val="24"/>
        </w:rPr>
        <w:t>torsional</w:t>
      </w:r>
      <w:proofErr w:type="spellEnd"/>
      <w:r w:rsidRPr="00141AE8">
        <w:rPr>
          <w:rFonts w:asciiTheme="minorHAnsi" w:hAnsiTheme="minorHAnsi"/>
          <w:szCs w:val="24"/>
        </w:rPr>
        <w:t xml:space="preserve"> rigidity (polar moment of area: J or </w:t>
      </w:r>
      <w:proofErr w:type="spellStart"/>
      <w:r w:rsidRPr="00141AE8">
        <w:rPr>
          <w:rFonts w:asciiTheme="minorHAnsi" w:hAnsiTheme="minorHAnsi"/>
          <w:szCs w:val="24"/>
        </w:rPr>
        <w:t>I</w:t>
      </w:r>
      <w:r w:rsidRPr="00141AE8">
        <w:rPr>
          <w:rFonts w:asciiTheme="minorHAnsi" w:hAnsiTheme="minorHAnsi"/>
          <w:szCs w:val="24"/>
          <w:vertAlign w:val="subscript"/>
        </w:rPr>
        <w:t>p</w:t>
      </w:r>
      <w:proofErr w:type="spellEnd"/>
      <w:r w:rsidRPr="00141AE8">
        <w:rPr>
          <w:rFonts w:asciiTheme="minorHAnsi" w:hAnsiTheme="minorHAnsi"/>
          <w:szCs w:val="24"/>
        </w:rPr>
        <w:t xml:space="preserve">) of the </w:t>
      </w:r>
      <w:proofErr w:type="spellStart"/>
      <w:r w:rsidRPr="00141AE8">
        <w:rPr>
          <w:rFonts w:asciiTheme="minorHAnsi" w:hAnsiTheme="minorHAnsi"/>
          <w:szCs w:val="24"/>
        </w:rPr>
        <w:t>diaphysis</w:t>
      </w:r>
      <w:proofErr w:type="spellEnd"/>
      <w:r w:rsidRPr="00141AE8">
        <w:rPr>
          <w:rFonts w:asciiTheme="minorHAnsi" w:hAnsiTheme="minorHAnsi"/>
          <w:szCs w:val="24"/>
        </w:rPr>
        <w:t xml:space="preserve">. J is proportional to the </w:t>
      </w:r>
      <w:proofErr w:type="spellStart"/>
      <w:r w:rsidRPr="00141AE8">
        <w:rPr>
          <w:rFonts w:asciiTheme="minorHAnsi" w:hAnsiTheme="minorHAnsi"/>
          <w:szCs w:val="24"/>
        </w:rPr>
        <w:t>torsional</w:t>
      </w:r>
      <w:proofErr w:type="spellEnd"/>
      <w:r w:rsidRPr="00141AE8">
        <w:rPr>
          <w:rFonts w:asciiTheme="minorHAnsi" w:hAnsiTheme="minorHAnsi"/>
          <w:szCs w:val="24"/>
        </w:rPr>
        <w:t xml:space="preserve"> rigidity of a bone and is calculated as the sum of two perpendicular SMAs. The cross-sectional variable </w:t>
      </w:r>
      <w:proofErr w:type="spellStart"/>
      <w:r w:rsidRPr="00141AE8">
        <w:rPr>
          <w:rFonts w:asciiTheme="minorHAnsi" w:hAnsiTheme="minorHAnsi"/>
          <w:szCs w:val="24"/>
        </w:rPr>
        <w:t>Zp</w:t>
      </w:r>
      <w:proofErr w:type="spellEnd"/>
      <w:r w:rsidRPr="00141AE8">
        <w:rPr>
          <w:rFonts w:asciiTheme="minorHAnsi" w:hAnsiTheme="minorHAnsi"/>
          <w:szCs w:val="24"/>
        </w:rPr>
        <w:t xml:space="preserve"> (section modulus) is used here to evaluate overall bone rigidity, and is calculated by raising the polar second moment of area (J) to the power of 0.73 (Ruff 1995, 2000).  Bending moments are influenced by body dimensions; in order to obtain measures of relative strength, or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w:t>
      </w:r>
      <w:proofErr w:type="spellStart"/>
      <w:r w:rsidRPr="00141AE8">
        <w:rPr>
          <w:rFonts w:asciiTheme="minorHAnsi" w:hAnsiTheme="minorHAnsi"/>
          <w:i/>
          <w:szCs w:val="24"/>
        </w:rPr>
        <w:t>sensu</w:t>
      </w:r>
      <w:proofErr w:type="spellEnd"/>
      <w:r w:rsidRPr="00141AE8">
        <w:rPr>
          <w:rFonts w:asciiTheme="minorHAnsi" w:hAnsiTheme="minorHAnsi"/>
          <w:szCs w:val="24"/>
        </w:rPr>
        <w:t xml:space="preserve"> Ruff et al. 1993), which can aid the reconstruction of functional adaptations to patterns of activity, </w:t>
      </w:r>
      <w:proofErr w:type="spellStart"/>
      <w:r w:rsidRPr="00141AE8">
        <w:rPr>
          <w:rFonts w:asciiTheme="minorHAnsi" w:hAnsiTheme="minorHAnsi"/>
          <w:szCs w:val="24"/>
        </w:rPr>
        <w:t>Zp</w:t>
      </w:r>
      <w:proofErr w:type="spellEnd"/>
      <w:r w:rsidRPr="00141AE8">
        <w:rPr>
          <w:rFonts w:asciiTheme="minorHAnsi" w:hAnsiTheme="minorHAnsi"/>
          <w:szCs w:val="24"/>
        </w:rPr>
        <w:t xml:space="preserve"> needs to be scaled by bone length and the body mass of the individual (Ruff, 2000). For most individuals, body mass was estimated from the </w:t>
      </w:r>
      <w:proofErr w:type="spellStart"/>
      <w:r w:rsidRPr="00141AE8">
        <w:rPr>
          <w:rFonts w:asciiTheme="minorHAnsi" w:hAnsiTheme="minorHAnsi"/>
          <w:szCs w:val="24"/>
        </w:rPr>
        <w:t>superoinferior</w:t>
      </w:r>
      <w:proofErr w:type="spellEnd"/>
      <w:r w:rsidRPr="00141AE8">
        <w:rPr>
          <w:rFonts w:asciiTheme="minorHAnsi" w:hAnsiTheme="minorHAnsi"/>
          <w:szCs w:val="24"/>
        </w:rPr>
        <w:t xml:space="preserve"> diameter of the femoral head following the guidelines in Trinkaus and Ruff (2012). For some individuals in the comparative sample for which the femoral head was not preserved and could not be estimated via regression equations based on the rest of </w:t>
      </w:r>
      <w:r w:rsidRPr="00141AE8">
        <w:rPr>
          <w:rFonts w:asciiTheme="minorHAnsi" w:hAnsiTheme="minorHAnsi"/>
          <w:szCs w:val="24"/>
        </w:rPr>
        <w:lastRenderedPageBreak/>
        <w:t>the Late Pleistocene sample, body mass was calculated using the cylindrical method (Holt, 1999; Ruff et al., 2006a).</w:t>
      </w:r>
    </w:p>
    <w:p w:rsidR="006913B8" w:rsidRPr="00141AE8" w:rsidRDefault="006913B8" w:rsidP="006913B8">
      <w:pPr>
        <w:spacing w:line="360" w:lineRule="auto"/>
        <w:jc w:val="both"/>
        <w:rPr>
          <w:rFonts w:asciiTheme="minorHAnsi" w:hAnsiTheme="minorHAnsi"/>
          <w:szCs w:val="24"/>
        </w:rPr>
      </w:pPr>
      <w:r w:rsidRPr="00141AE8">
        <w:rPr>
          <w:rFonts w:asciiTheme="minorHAnsi" w:hAnsiTheme="minorHAnsi"/>
          <w:szCs w:val="24"/>
        </w:rPr>
        <w:t>In addition to overall strength, indices are used to characterize functional adaptations related to the asymmetric use of the dominant upper limb in various activities (Trinkaus et al., 1994; Churchill et al., 2000; Rhodes and Knüsel, 2005; Shaw and Stock, 2009a; Sparacell</w:t>
      </w:r>
      <w:r w:rsidR="003E4E72" w:rsidRPr="00141AE8">
        <w:rPr>
          <w:rFonts w:asciiTheme="minorHAnsi" w:hAnsiTheme="minorHAnsi"/>
          <w:szCs w:val="24"/>
        </w:rPr>
        <w:t>o et al., 2011, 2015, In Press</w:t>
      </w:r>
      <w:r w:rsidRPr="00141AE8">
        <w:rPr>
          <w:rFonts w:asciiTheme="minorHAnsi" w:hAnsiTheme="minorHAnsi"/>
          <w:szCs w:val="24"/>
        </w:rPr>
        <w:t xml:space="preserve">), as well as to evaluating the shaping of the cross-sections of the lower limbs in response to varying levels and types of mobility (Holt, 1999, 2003; Shaw and Stock, 2009b, 2013; </w:t>
      </w:r>
      <w:proofErr w:type="spellStart"/>
      <w:r w:rsidRPr="00141AE8">
        <w:rPr>
          <w:rFonts w:asciiTheme="minorHAnsi" w:hAnsiTheme="minorHAnsi"/>
          <w:szCs w:val="24"/>
        </w:rPr>
        <w:t>Marchi</w:t>
      </w:r>
      <w:proofErr w:type="spellEnd"/>
      <w:r w:rsidRPr="00141AE8">
        <w:rPr>
          <w:rFonts w:asciiTheme="minorHAnsi" w:hAnsiTheme="minorHAnsi"/>
          <w:szCs w:val="24"/>
        </w:rPr>
        <w:t xml:space="preserve"> and Shaw, 2011; Carlson and </w:t>
      </w:r>
      <w:proofErr w:type="spellStart"/>
      <w:r w:rsidRPr="00141AE8">
        <w:rPr>
          <w:rFonts w:asciiTheme="minorHAnsi" w:hAnsiTheme="minorHAnsi"/>
          <w:szCs w:val="24"/>
        </w:rPr>
        <w:t>Marchi</w:t>
      </w:r>
      <w:proofErr w:type="spellEnd"/>
      <w:r w:rsidRPr="00141AE8">
        <w:rPr>
          <w:rFonts w:asciiTheme="minorHAnsi" w:hAnsiTheme="minorHAnsi"/>
          <w:szCs w:val="24"/>
        </w:rPr>
        <w:t xml:space="preserve"> 2014). For the upper limb elements, asymmetry was computed as: (maximum J – minimum J) / minimum J, expressed as a percentage (Trinkaus et al., 1994), and hence it represents an absolute (non-directional) asymmetry. For the lower limbs, we calculated the cross-sectional shapes, i.e. the ratios of perpendicular second moment of areas. For the tibia, Imax/</w:t>
      </w:r>
      <w:proofErr w:type="spellStart"/>
      <w:r w:rsidRPr="00141AE8">
        <w:rPr>
          <w:rFonts w:asciiTheme="minorHAnsi" w:hAnsiTheme="minorHAnsi"/>
          <w:szCs w:val="24"/>
        </w:rPr>
        <w:t>Imin</w:t>
      </w:r>
      <w:proofErr w:type="spellEnd"/>
      <w:r w:rsidRPr="00141AE8">
        <w:rPr>
          <w:rFonts w:asciiTheme="minorHAnsi" w:hAnsiTheme="minorHAnsi"/>
          <w:szCs w:val="24"/>
        </w:rPr>
        <w:t xml:space="preserve"> (ratio of the maximum and minimum SMA) was used, while for the femur, I</w:t>
      </w:r>
      <w:r w:rsidRPr="00141AE8">
        <w:rPr>
          <w:rFonts w:asciiTheme="minorHAnsi" w:hAnsiTheme="minorHAnsi"/>
          <w:szCs w:val="24"/>
          <w:vertAlign w:val="subscript"/>
        </w:rPr>
        <w:t>x</w:t>
      </w:r>
      <w:r w:rsidRPr="00141AE8">
        <w:rPr>
          <w:rFonts w:asciiTheme="minorHAnsi" w:hAnsiTheme="minorHAnsi"/>
          <w:szCs w:val="24"/>
        </w:rPr>
        <w:t>/</w:t>
      </w:r>
      <w:proofErr w:type="spellStart"/>
      <w:r w:rsidRPr="00141AE8">
        <w:rPr>
          <w:rFonts w:asciiTheme="minorHAnsi" w:hAnsiTheme="minorHAnsi"/>
          <w:szCs w:val="24"/>
        </w:rPr>
        <w:t>I</w:t>
      </w:r>
      <w:r w:rsidRPr="00141AE8">
        <w:rPr>
          <w:rFonts w:asciiTheme="minorHAnsi" w:hAnsiTheme="minorHAnsi"/>
          <w:szCs w:val="24"/>
          <w:vertAlign w:val="subscript"/>
        </w:rPr>
        <w:t>y</w:t>
      </w:r>
      <w:proofErr w:type="spellEnd"/>
      <w:r w:rsidRPr="00141AE8">
        <w:rPr>
          <w:rFonts w:asciiTheme="minorHAnsi" w:hAnsiTheme="minorHAnsi"/>
          <w:szCs w:val="24"/>
        </w:rPr>
        <w:t xml:space="preserve"> (ratio of SMAs calculated about ML and AP planes) was preferred (Sparacello et al., </w:t>
      </w:r>
      <w:proofErr w:type="spellStart"/>
      <w:r w:rsidR="003E4E72" w:rsidRPr="00141AE8">
        <w:rPr>
          <w:rFonts w:asciiTheme="minorHAnsi" w:hAnsiTheme="minorHAnsi"/>
          <w:szCs w:val="24"/>
        </w:rPr>
        <w:t>n.d</w:t>
      </w:r>
      <w:proofErr w:type="spellEnd"/>
      <w:r w:rsidR="003E4E72" w:rsidRPr="00141AE8">
        <w:rPr>
          <w:rFonts w:asciiTheme="minorHAnsi" w:hAnsiTheme="minorHAnsi"/>
          <w:szCs w:val="24"/>
        </w:rPr>
        <w:t>.</w:t>
      </w:r>
      <w:r w:rsidRPr="00141AE8">
        <w:rPr>
          <w:rFonts w:asciiTheme="minorHAnsi" w:hAnsiTheme="minorHAnsi"/>
          <w:szCs w:val="24"/>
        </w:rPr>
        <w:t xml:space="preserve">). Another index, the relative fibular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was calculated as 100 × (J fibula/J tibia) (</w:t>
      </w:r>
      <w:proofErr w:type="spellStart"/>
      <w:r w:rsidRPr="00141AE8">
        <w:rPr>
          <w:rFonts w:asciiTheme="minorHAnsi" w:hAnsiTheme="minorHAnsi"/>
          <w:szCs w:val="24"/>
        </w:rPr>
        <w:t>Marchi</w:t>
      </w:r>
      <w:proofErr w:type="spellEnd"/>
      <w:r w:rsidRPr="00141AE8">
        <w:rPr>
          <w:rFonts w:asciiTheme="minorHAnsi" w:hAnsiTheme="minorHAnsi"/>
          <w:szCs w:val="24"/>
        </w:rPr>
        <w:t xml:space="preserve"> and Shaw, 2011; Sparacello et al., 2014, In Press a). Finally, the ratio of </w:t>
      </w:r>
      <w:proofErr w:type="spellStart"/>
      <w:r w:rsidRPr="00141AE8">
        <w:rPr>
          <w:rFonts w:asciiTheme="minorHAnsi" w:hAnsiTheme="minorHAnsi"/>
          <w:szCs w:val="24"/>
        </w:rPr>
        <w:t>tibial</w:t>
      </w:r>
      <w:proofErr w:type="spellEnd"/>
      <w:r w:rsidRPr="00141AE8">
        <w:rPr>
          <w:rFonts w:asciiTheme="minorHAnsi" w:hAnsiTheme="minorHAnsi"/>
          <w:szCs w:val="24"/>
        </w:rPr>
        <w:t xml:space="preserve"> </w:t>
      </w:r>
      <w:proofErr w:type="spellStart"/>
      <w:r w:rsidRPr="00141AE8">
        <w:rPr>
          <w:rFonts w:asciiTheme="minorHAnsi" w:hAnsiTheme="minorHAnsi"/>
          <w:szCs w:val="24"/>
        </w:rPr>
        <w:t>vs</w:t>
      </w:r>
      <w:proofErr w:type="spellEnd"/>
      <w:r w:rsidRPr="00141AE8">
        <w:rPr>
          <w:rFonts w:asciiTheme="minorHAnsi" w:hAnsiTheme="minorHAnsi"/>
          <w:szCs w:val="24"/>
        </w:rPr>
        <w:t xml:space="preserve"> humeral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(average between sides; only </w:t>
      </w:r>
      <w:proofErr w:type="spellStart"/>
      <w:r w:rsidRPr="00141AE8">
        <w:rPr>
          <w:rFonts w:asciiTheme="minorHAnsi" w:hAnsiTheme="minorHAnsi"/>
          <w:szCs w:val="24"/>
        </w:rPr>
        <w:t>invididuals</w:t>
      </w:r>
      <w:proofErr w:type="spellEnd"/>
      <w:r w:rsidRPr="00141AE8">
        <w:rPr>
          <w:rFonts w:asciiTheme="minorHAnsi" w:hAnsiTheme="minorHAnsi"/>
          <w:szCs w:val="24"/>
        </w:rPr>
        <w:t xml:space="preserve"> with paired </w:t>
      </w:r>
      <w:proofErr w:type="spellStart"/>
      <w:r w:rsidRPr="00141AE8">
        <w:rPr>
          <w:rFonts w:asciiTheme="minorHAnsi" w:hAnsiTheme="minorHAnsi"/>
          <w:szCs w:val="24"/>
        </w:rPr>
        <w:t>humeri</w:t>
      </w:r>
      <w:proofErr w:type="spellEnd"/>
      <w:r w:rsidRPr="00141AE8">
        <w:rPr>
          <w:rFonts w:asciiTheme="minorHAnsi" w:hAnsiTheme="minorHAnsi"/>
          <w:szCs w:val="24"/>
        </w:rPr>
        <w:t xml:space="preserve"> were included) was calculated, given its correlation with mobility levels (Shaw and Stock, 2013). All indices and ratios are derived from </w:t>
      </w:r>
      <w:proofErr w:type="spellStart"/>
      <w:r w:rsidRPr="00141AE8">
        <w:rPr>
          <w:rFonts w:asciiTheme="minorHAnsi" w:hAnsiTheme="minorHAnsi"/>
          <w:szCs w:val="24"/>
        </w:rPr>
        <w:t>unstandardized</w:t>
      </w:r>
      <w:proofErr w:type="spellEnd"/>
      <w:r w:rsidRPr="00141AE8">
        <w:rPr>
          <w:rFonts w:asciiTheme="minorHAnsi" w:hAnsiTheme="minorHAnsi"/>
          <w:szCs w:val="24"/>
        </w:rPr>
        <w:t xml:space="preserve"> data.</w:t>
      </w:r>
    </w:p>
    <w:p w:rsidR="006913B8" w:rsidRPr="00141AE8" w:rsidRDefault="006913B8" w:rsidP="006913B8">
      <w:pPr>
        <w:spacing w:line="360" w:lineRule="auto"/>
        <w:jc w:val="both"/>
        <w:rPr>
          <w:rFonts w:asciiTheme="minorHAnsi" w:hAnsiTheme="minorHAnsi"/>
          <w:szCs w:val="24"/>
        </w:rPr>
      </w:pPr>
      <w:r w:rsidRPr="00141AE8">
        <w:rPr>
          <w:rFonts w:asciiTheme="minorHAnsi" w:hAnsiTheme="minorHAnsi"/>
          <w:szCs w:val="24"/>
        </w:rPr>
        <w:t xml:space="preserve">The cross-sectional parameters were obtained, depending on the available technology, from CT scans of the </w:t>
      </w:r>
      <w:proofErr w:type="spellStart"/>
      <w:r w:rsidRPr="00141AE8">
        <w:rPr>
          <w:rFonts w:asciiTheme="minorHAnsi" w:hAnsiTheme="minorHAnsi"/>
          <w:szCs w:val="24"/>
        </w:rPr>
        <w:t>humeri</w:t>
      </w:r>
      <w:proofErr w:type="spellEnd"/>
      <w:r w:rsidRPr="00141AE8">
        <w:rPr>
          <w:rFonts w:asciiTheme="minorHAnsi" w:hAnsiTheme="minorHAnsi"/>
          <w:szCs w:val="24"/>
        </w:rPr>
        <w:t xml:space="preserve">, </w:t>
      </w:r>
      <w:proofErr w:type="spellStart"/>
      <w:r w:rsidRPr="00141AE8">
        <w:rPr>
          <w:rFonts w:asciiTheme="minorHAnsi" w:hAnsiTheme="minorHAnsi"/>
          <w:szCs w:val="24"/>
        </w:rPr>
        <w:t>subperiosteal</w:t>
      </w:r>
      <w:proofErr w:type="spellEnd"/>
      <w:r w:rsidRPr="00141AE8">
        <w:rPr>
          <w:rFonts w:asciiTheme="minorHAnsi" w:hAnsiTheme="minorHAnsi"/>
          <w:szCs w:val="24"/>
        </w:rPr>
        <w:t xml:space="preserve"> molds plus </w:t>
      </w:r>
      <w:proofErr w:type="spellStart"/>
      <w:r w:rsidRPr="00141AE8">
        <w:rPr>
          <w:rFonts w:asciiTheme="minorHAnsi" w:hAnsiTheme="minorHAnsi"/>
          <w:szCs w:val="24"/>
        </w:rPr>
        <w:t>biplanar</w:t>
      </w:r>
      <w:proofErr w:type="spellEnd"/>
      <w:r w:rsidRPr="00141AE8">
        <w:rPr>
          <w:rFonts w:asciiTheme="minorHAnsi" w:hAnsiTheme="minorHAnsi"/>
          <w:szCs w:val="24"/>
        </w:rPr>
        <w:t xml:space="preserve"> radi</w:t>
      </w:r>
      <w:r w:rsidR="003E4E72" w:rsidRPr="00141AE8">
        <w:rPr>
          <w:rFonts w:asciiTheme="minorHAnsi" w:hAnsiTheme="minorHAnsi"/>
          <w:szCs w:val="24"/>
        </w:rPr>
        <w:t>ography for cortical thickness</w:t>
      </w:r>
      <w:r w:rsidRPr="00141AE8">
        <w:rPr>
          <w:rFonts w:asciiTheme="minorHAnsi" w:hAnsiTheme="minorHAnsi"/>
          <w:szCs w:val="24"/>
        </w:rPr>
        <w:t xml:space="preserve">, ellipse formulae employing external diameters and cortical thickness, and scaled photographs of fossilization breaks (O’Neill and Ruff, 2004). For some individuals, cross-sectional parameters were computed from </w:t>
      </w:r>
      <w:proofErr w:type="spellStart"/>
      <w:r w:rsidRPr="00141AE8">
        <w:rPr>
          <w:rFonts w:asciiTheme="minorHAnsi" w:hAnsiTheme="minorHAnsi"/>
          <w:szCs w:val="24"/>
        </w:rPr>
        <w:t>subperiosteal</w:t>
      </w:r>
      <w:proofErr w:type="spellEnd"/>
      <w:r w:rsidRPr="00141AE8">
        <w:rPr>
          <w:rFonts w:asciiTheme="minorHAnsi" w:hAnsiTheme="minorHAnsi"/>
          <w:szCs w:val="24"/>
        </w:rPr>
        <w:t xml:space="preserve"> contour modeled as a solid section, and the CSG measures were computed based on recent human regressions (Sparacello and Pearson, 2010). In addition, in order to include </w:t>
      </w:r>
      <w:proofErr w:type="spellStart"/>
      <w:r w:rsidRPr="00141AE8">
        <w:rPr>
          <w:rFonts w:asciiTheme="minorHAnsi" w:hAnsiTheme="minorHAnsi"/>
          <w:szCs w:val="24"/>
        </w:rPr>
        <w:t>humeri</w:t>
      </w:r>
      <w:proofErr w:type="spellEnd"/>
      <w:r w:rsidRPr="00141AE8">
        <w:rPr>
          <w:rFonts w:asciiTheme="minorHAnsi" w:hAnsiTheme="minorHAnsi"/>
          <w:szCs w:val="24"/>
        </w:rPr>
        <w:t xml:space="preserve"> with internal damage or for which cross-sectional data is not available, in some cases </w:t>
      </w:r>
      <w:proofErr w:type="spellStart"/>
      <w:r w:rsidRPr="00141AE8">
        <w:rPr>
          <w:rFonts w:asciiTheme="minorHAnsi" w:hAnsiTheme="minorHAnsi"/>
          <w:szCs w:val="24"/>
        </w:rPr>
        <w:t>midshaft</w:t>
      </w:r>
      <w:proofErr w:type="spellEnd"/>
      <w:r w:rsidRPr="00141AE8">
        <w:rPr>
          <w:rFonts w:asciiTheme="minorHAnsi" w:hAnsiTheme="minorHAnsi"/>
          <w:szCs w:val="24"/>
        </w:rPr>
        <w:t xml:space="preserve"> second moments of area were estimated from maximum and minimum </w:t>
      </w:r>
      <w:proofErr w:type="spellStart"/>
      <w:r w:rsidRPr="00141AE8">
        <w:rPr>
          <w:rFonts w:asciiTheme="minorHAnsi" w:hAnsiTheme="minorHAnsi"/>
          <w:szCs w:val="24"/>
        </w:rPr>
        <w:t>subperiosteal</w:t>
      </w:r>
      <w:proofErr w:type="spellEnd"/>
      <w:r w:rsidRPr="00141AE8">
        <w:rPr>
          <w:rFonts w:asciiTheme="minorHAnsi" w:hAnsiTheme="minorHAnsi"/>
          <w:szCs w:val="24"/>
        </w:rPr>
        <w:t xml:space="preserve"> diameters using a least squares multiple regression based on: 1) a pooled sample of Late Pleistocene individuals for the </w:t>
      </w:r>
      <w:proofErr w:type="spellStart"/>
      <w:r w:rsidRPr="00141AE8">
        <w:rPr>
          <w:rFonts w:asciiTheme="minorHAnsi" w:hAnsiTheme="minorHAnsi"/>
          <w:szCs w:val="24"/>
        </w:rPr>
        <w:t>humer</w:t>
      </w:r>
      <w:r w:rsidR="003E4E72" w:rsidRPr="00141AE8">
        <w:rPr>
          <w:rFonts w:asciiTheme="minorHAnsi" w:hAnsiTheme="minorHAnsi"/>
          <w:szCs w:val="24"/>
        </w:rPr>
        <w:t>i</w:t>
      </w:r>
      <w:proofErr w:type="spellEnd"/>
      <w:r w:rsidR="003E4E72" w:rsidRPr="00141AE8">
        <w:rPr>
          <w:rFonts w:asciiTheme="minorHAnsi" w:hAnsiTheme="minorHAnsi"/>
          <w:szCs w:val="24"/>
        </w:rPr>
        <w:t xml:space="preserve"> (Sparacello et al., In Press</w:t>
      </w:r>
      <w:r w:rsidRPr="00141AE8">
        <w:rPr>
          <w:rFonts w:asciiTheme="minorHAnsi" w:hAnsiTheme="minorHAnsi"/>
          <w:szCs w:val="24"/>
        </w:rPr>
        <w:t xml:space="preserve">) and femora (Trinkaus, personal communication); 2) a pooled sample of Pleistocene individuals and modern humans for the radius, ulna, and tibia (Pearson, 1997; Pearson et al., 2006; Pearson and Sparacello, In Press). The different </w:t>
      </w:r>
      <w:r w:rsidRPr="00141AE8">
        <w:rPr>
          <w:rFonts w:asciiTheme="minorHAnsi" w:hAnsiTheme="minorHAnsi"/>
          <w:szCs w:val="24"/>
        </w:rPr>
        <w:lastRenderedPageBreak/>
        <w:t>techniques for obtaining cross-sectional parameters provide consistent results, well within the variation produced by the variable preservation of the fossil remains (cf. Macintosh et al., 2013; O’Neill and Ruff, 2004; Sparacello and Pearson, 2010; Stock, 2002).</w:t>
      </w: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b/>
          <w:szCs w:val="24"/>
        </w:rPr>
      </w:pPr>
      <w:r w:rsidRPr="00141AE8">
        <w:rPr>
          <w:rFonts w:asciiTheme="minorHAnsi" w:hAnsiTheme="minorHAnsi"/>
          <w:b/>
          <w:szCs w:val="24"/>
        </w:rPr>
        <w:t>II) CSG properties for</w:t>
      </w:r>
      <w:bookmarkStart w:id="0" w:name="_GoBack"/>
      <w:bookmarkEnd w:id="0"/>
      <w:r w:rsidRPr="00141AE8">
        <w:rPr>
          <w:rFonts w:asciiTheme="minorHAnsi" w:hAnsiTheme="minorHAnsi"/>
          <w:b/>
          <w:szCs w:val="24"/>
        </w:rPr>
        <w:t xml:space="preserve"> BT individ</w:t>
      </w:r>
      <w:r w:rsidR="00FA052A" w:rsidRPr="00141AE8">
        <w:rPr>
          <w:rFonts w:asciiTheme="minorHAnsi" w:hAnsiTheme="minorHAnsi"/>
          <w:b/>
          <w:szCs w:val="24"/>
        </w:rPr>
        <w:t>uals and the comparative sample</w:t>
      </w:r>
      <w:r w:rsidRPr="00141AE8">
        <w:rPr>
          <w:rFonts w:asciiTheme="minorHAnsi" w:hAnsiTheme="minorHAnsi"/>
          <w:b/>
          <w:szCs w:val="24"/>
        </w:rPr>
        <w:t>.</w:t>
      </w:r>
    </w:p>
    <w:p w:rsidR="006913B8" w:rsidRPr="00141AE8" w:rsidRDefault="006913B8" w:rsidP="006913B8">
      <w:pPr>
        <w:spacing w:line="360" w:lineRule="auto"/>
        <w:jc w:val="both"/>
        <w:rPr>
          <w:rFonts w:asciiTheme="minorHAnsi" w:hAnsiTheme="minorHAnsi"/>
          <w:b/>
          <w:szCs w:val="24"/>
        </w:rPr>
      </w:pPr>
    </w:p>
    <w:p w:rsidR="006913B8" w:rsidRPr="00141AE8" w:rsidRDefault="006913B8" w:rsidP="006913B8">
      <w:pPr>
        <w:spacing w:line="360" w:lineRule="auto"/>
        <w:jc w:val="both"/>
        <w:rPr>
          <w:rFonts w:asciiTheme="minorHAnsi" w:hAnsiTheme="minorHAnsi"/>
          <w:b/>
          <w:szCs w:val="24"/>
        </w:rPr>
      </w:pPr>
      <w:proofErr w:type="gramStart"/>
      <w:r w:rsidRPr="00141AE8">
        <w:rPr>
          <w:rFonts w:asciiTheme="minorHAnsi" w:hAnsiTheme="minorHAnsi"/>
          <w:szCs w:val="24"/>
        </w:rPr>
        <w:t>Figure 1.</w:t>
      </w:r>
      <w:proofErr w:type="gramEnd"/>
      <w:r w:rsidRPr="00141AE8">
        <w:rPr>
          <w:rFonts w:asciiTheme="minorHAnsi" w:hAnsiTheme="minorHAnsi"/>
          <w:szCs w:val="24"/>
        </w:rPr>
        <w:t xml:space="preserve"> </w:t>
      </w:r>
      <w:proofErr w:type="spellStart"/>
      <w:r w:rsidRPr="00141AE8">
        <w:rPr>
          <w:rFonts w:asciiTheme="minorHAnsi" w:hAnsiTheme="minorHAnsi"/>
          <w:szCs w:val="24"/>
        </w:rPr>
        <w:t>Ulnar</w:t>
      </w:r>
      <w:proofErr w:type="spellEnd"/>
      <w:r w:rsidRPr="00141AE8">
        <w:rPr>
          <w:rFonts w:asciiTheme="minorHAnsi" w:hAnsiTheme="minorHAnsi"/>
          <w:szCs w:val="24"/>
        </w:rPr>
        <w:t xml:space="preserve">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w:t>
      </w:r>
      <w:r w:rsidR="00141AE8" w:rsidRPr="00141AE8">
        <w:rPr>
          <w:rFonts w:asciiTheme="minorHAnsi" w:hAnsiTheme="minorHAnsi"/>
          <w:szCs w:val="24"/>
        </w:rPr>
        <w:t xml:space="preserve">[section modulus </w:t>
      </w:r>
      <w:proofErr w:type="spellStart"/>
      <w:r w:rsidR="00141AE8" w:rsidRPr="00141AE8">
        <w:rPr>
          <w:rFonts w:asciiTheme="minorHAnsi" w:hAnsiTheme="minorHAnsi"/>
          <w:szCs w:val="24"/>
        </w:rPr>
        <w:t>Zp</w:t>
      </w:r>
      <w:proofErr w:type="spellEnd"/>
      <w:r w:rsidR="00141AE8" w:rsidRPr="00141AE8">
        <w:rPr>
          <w:rFonts w:asciiTheme="minorHAnsi" w:hAnsiTheme="minorHAnsi"/>
          <w:szCs w:val="24"/>
        </w:rPr>
        <w:t xml:space="preserve"> (mm</w:t>
      </w:r>
      <w:r w:rsidR="00141AE8" w:rsidRPr="00141AE8">
        <w:rPr>
          <w:rFonts w:asciiTheme="minorHAnsi" w:hAnsiTheme="minorHAnsi"/>
          <w:szCs w:val="24"/>
          <w:vertAlign w:val="superscript"/>
        </w:rPr>
        <w:t>3</w:t>
      </w:r>
      <w:r w:rsidR="00141AE8" w:rsidRPr="00141AE8">
        <w:rPr>
          <w:rFonts w:asciiTheme="minorHAnsi" w:hAnsiTheme="minorHAnsi"/>
          <w:szCs w:val="24"/>
        </w:rPr>
        <w:t>) standardized by dividing for body mass (kg) and bone length (mm)]</w:t>
      </w:r>
      <w:r w:rsidRPr="00141AE8">
        <w:rPr>
          <w:rFonts w:asciiTheme="minorHAnsi" w:hAnsiTheme="minorHAnsi"/>
          <w:szCs w:val="24"/>
        </w:rPr>
        <w:t xml:space="preserve">. Values for BT individuals compared to the sample statistics of the Middle Upper (MUP) and Late Upper (LUP) Paleolithic specimens. </w:t>
      </w:r>
      <w:proofErr w:type="spellStart"/>
      <w:r w:rsidRPr="00141AE8">
        <w:rPr>
          <w:rFonts w:asciiTheme="minorHAnsi" w:hAnsiTheme="minorHAnsi"/>
          <w:szCs w:val="24"/>
        </w:rPr>
        <w:t>Boxplots</w:t>
      </w:r>
      <w:proofErr w:type="spellEnd"/>
      <w:r w:rsidRPr="00141AE8">
        <w:rPr>
          <w:rFonts w:asciiTheme="minorHAnsi" w:hAnsiTheme="minorHAnsi"/>
          <w:szCs w:val="24"/>
        </w:rPr>
        <w:t xml:space="preserve"> indicate the median (horizontal bar), the upper and lower quartiles (boxes), and the upper and lower non-outlier extremes (vertical bar).</w:t>
      </w:r>
      <w:r w:rsidRPr="00141AE8">
        <w:rPr>
          <w:rFonts w:asciiTheme="minorHAnsi" w:hAnsiTheme="minorHAnsi"/>
          <w:b/>
          <w:szCs w:val="24"/>
        </w:rPr>
        <w:t xml:space="preserve"> </w:t>
      </w:r>
    </w:p>
    <w:p w:rsidR="006913B8" w:rsidRPr="00141AE8" w:rsidRDefault="006913B8" w:rsidP="006913B8">
      <w:pPr>
        <w:spacing w:line="360" w:lineRule="auto"/>
        <w:jc w:val="both"/>
        <w:rPr>
          <w:rFonts w:asciiTheme="minorHAnsi" w:hAnsiTheme="minorHAnsi"/>
          <w:b/>
          <w:szCs w:val="24"/>
        </w:rPr>
      </w:pPr>
    </w:p>
    <w:p w:rsidR="006913B8" w:rsidRPr="00141AE8" w:rsidRDefault="006913B8" w:rsidP="006913B8">
      <w:pPr>
        <w:spacing w:line="360" w:lineRule="auto"/>
        <w:jc w:val="both"/>
        <w:rPr>
          <w:rFonts w:asciiTheme="minorHAnsi" w:hAnsiTheme="minorHAnsi"/>
          <w:b/>
          <w:szCs w:val="24"/>
        </w:rPr>
      </w:pPr>
    </w:p>
    <w:p w:rsidR="006913B8" w:rsidRPr="00141AE8" w:rsidRDefault="006913B8" w:rsidP="006913B8">
      <w:pPr>
        <w:tabs>
          <w:tab w:val="left" w:pos="1277"/>
        </w:tabs>
        <w:spacing w:line="360" w:lineRule="auto"/>
        <w:jc w:val="both"/>
        <w:rPr>
          <w:rFonts w:asciiTheme="minorHAnsi" w:hAnsiTheme="minorHAnsi"/>
          <w:szCs w:val="24"/>
        </w:rPr>
      </w:pPr>
      <w:r w:rsidRPr="00141AE8">
        <w:rPr>
          <w:rFonts w:asciiTheme="minorHAnsi" w:hAnsiTheme="minorHAnsi"/>
          <w:noProof/>
          <w:szCs w:val="24"/>
          <w:lang w:val="fr-FR" w:eastAsia="fr-FR"/>
        </w:rPr>
        <w:drawing>
          <wp:inline distT="0" distB="0" distL="0" distR="0">
            <wp:extent cx="2671445" cy="4222115"/>
            <wp:effectExtent l="19050" t="0" r="0" b="0"/>
            <wp:docPr id="2" name="Image 1" descr="D:\Boulot\Université\Production scientifique\Articles\Articles en cours\BT1 2\Figure SI\Figure 1 ulna\Figure 1 SI ulna f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oulot\Université\Production scientifique\Articles\Articles en cours\BT1 2\Figure SI\Figure 1 ulna\Figure 1 SI ulna fu.tif"/>
                    <pic:cNvPicPr>
                      <a:picLocks noChangeAspect="1" noChangeArrowheads="1"/>
                    </pic:cNvPicPr>
                  </pic:nvPicPr>
                  <pic:blipFill>
                    <a:blip r:embed="rId4" cstate="print"/>
                    <a:srcRect/>
                    <a:stretch>
                      <a:fillRect/>
                    </a:stretch>
                  </pic:blipFill>
                  <pic:spPr bwMode="auto">
                    <a:xfrm>
                      <a:off x="0" y="0"/>
                      <a:ext cx="2671445" cy="4222115"/>
                    </a:xfrm>
                    <a:prstGeom prst="rect">
                      <a:avLst/>
                    </a:prstGeom>
                    <a:noFill/>
                    <a:ln w="9525">
                      <a:noFill/>
                      <a:miter lim="800000"/>
                      <a:headEnd/>
                      <a:tailEnd/>
                    </a:ln>
                  </pic:spPr>
                </pic:pic>
              </a:graphicData>
            </a:graphic>
          </wp:inline>
        </w:drawing>
      </w:r>
    </w:p>
    <w:p w:rsidR="006913B8" w:rsidRPr="00141AE8" w:rsidRDefault="006913B8" w:rsidP="006913B8">
      <w:pPr>
        <w:spacing w:line="360" w:lineRule="auto"/>
        <w:jc w:val="both"/>
        <w:rPr>
          <w:rFonts w:asciiTheme="minorHAnsi" w:hAnsiTheme="minorHAnsi"/>
          <w:szCs w:val="24"/>
        </w:rPr>
      </w:pPr>
      <w:r w:rsidRPr="00141AE8">
        <w:rPr>
          <w:rFonts w:asciiTheme="minorHAnsi" w:hAnsiTheme="minorHAnsi"/>
          <w:szCs w:val="24"/>
        </w:rPr>
        <w:br w:type="page"/>
      </w:r>
    </w:p>
    <w:p w:rsidR="006913B8" w:rsidRPr="00141AE8" w:rsidRDefault="006913B8" w:rsidP="006913B8">
      <w:pPr>
        <w:spacing w:line="360" w:lineRule="auto"/>
        <w:jc w:val="both"/>
        <w:rPr>
          <w:rFonts w:asciiTheme="minorHAnsi" w:hAnsiTheme="minorHAnsi"/>
          <w:szCs w:val="24"/>
        </w:rPr>
      </w:pPr>
      <w:proofErr w:type="gramStart"/>
      <w:r w:rsidRPr="00141AE8">
        <w:rPr>
          <w:rFonts w:asciiTheme="minorHAnsi" w:hAnsiTheme="minorHAnsi"/>
          <w:szCs w:val="24"/>
        </w:rPr>
        <w:lastRenderedPageBreak/>
        <w:t>F</w:t>
      </w:r>
      <w:r w:rsidR="00141AE8" w:rsidRPr="00141AE8">
        <w:rPr>
          <w:rFonts w:asciiTheme="minorHAnsi" w:hAnsiTheme="minorHAnsi"/>
          <w:szCs w:val="24"/>
        </w:rPr>
        <w:t>igure 2.</w:t>
      </w:r>
      <w:proofErr w:type="gramEnd"/>
      <w:r w:rsidR="00141AE8" w:rsidRPr="00141AE8">
        <w:rPr>
          <w:rFonts w:asciiTheme="minorHAnsi" w:hAnsiTheme="minorHAnsi"/>
          <w:szCs w:val="24"/>
        </w:rPr>
        <w:t xml:space="preserve"> Radial </w:t>
      </w:r>
      <w:proofErr w:type="spellStart"/>
      <w:r w:rsidR="00141AE8" w:rsidRPr="00141AE8">
        <w:rPr>
          <w:rFonts w:asciiTheme="minorHAnsi" w:hAnsiTheme="minorHAnsi"/>
          <w:szCs w:val="24"/>
        </w:rPr>
        <w:t>robusticity</w:t>
      </w:r>
      <w:proofErr w:type="spellEnd"/>
      <w:r w:rsidR="00141AE8" w:rsidRPr="00141AE8">
        <w:rPr>
          <w:rFonts w:asciiTheme="minorHAnsi" w:hAnsiTheme="minorHAnsi"/>
          <w:szCs w:val="24"/>
        </w:rPr>
        <w:t xml:space="preserve"> </w:t>
      </w:r>
      <w:r w:rsidR="00141AE8" w:rsidRPr="00141AE8">
        <w:rPr>
          <w:rFonts w:asciiTheme="minorHAnsi" w:hAnsiTheme="minorHAnsi"/>
          <w:szCs w:val="24"/>
        </w:rPr>
        <w:t xml:space="preserve">[section modulus </w:t>
      </w:r>
      <w:proofErr w:type="spellStart"/>
      <w:r w:rsidR="00141AE8" w:rsidRPr="00141AE8">
        <w:rPr>
          <w:rFonts w:asciiTheme="minorHAnsi" w:hAnsiTheme="minorHAnsi"/>
          <w:szCs w:val="24"/>
        </w:rPr>
        <w:t>Zp</w:t>
      </w:r>
      <w:proofErr w:type="spellEnd"/>
      <w:r w:rsidR="00141AE8" w:rsidRPr="00141AE8">
        <w:rPr>
          <w:rFonts w:asciiTheme="minorHAnsi" w:hAnsiTheme="minorHAnsi"/>
          <w:szCs w:val="24"/>
        </w:rPr>
        <w:t xml:space="preserve"> (mm</w:t>
      </w:r>
      <w:r w:rsidR="00141AE8" w:rsidRPr="00141AE8">
        <w:rPr>
          <w:rFonts w:asciiTheme="minorHAnsi" w:hAnsiTheme="minorHAnsi"/>
          <w:szCs w:val="24"/>
          <w:vertAlign w:val="superscript"/>
        </w:rPr>
        <w:t>3</w:t>
      </w:r>
      <w:r w:rsidR="00141AE8" w:rsidRPr="00141AE8">
        <w:rPr>
          <w:rFonts w:asciiTheme="minorHAnsi" w:hAnsiTheme="minorHAnsi"/>
          <w:szCs w:val="24"/>
        </w:rPr>
        <w:t>) standardized by dividing for body mass (kg) and bone length (mm)]</w:t>
      </w:r>
      <w:r w:rsidRPr="00141AE8">
        <w:rPr>
          <w:rFonts w:asciiTheme="minorHAnsi" w:hAnsiTheme="minorHAnsi"/>
          <w:szCs w:val="24"/>
        </w:rPr>
        <w:t>. For explanations, see figure 1.</w:t>
      </w: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b/>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r w:rsidRPr="00141AE8">
        <w:rPr>
          <w:rFonts w:asciiTheme="minorHAnsi" w:hAnsiTheme="minorHAnsi"/>
          <w:noProof/>
          <w:szCs w:val="24"/>
          <w:lang w:val="fr-FR" w:eastAsia="fr-FR"/>
        </w:rPr>
        <w:drawing>
          <wp:inline distT="0" distB="0" distL="0" distR="0">
            <wp:extent cx="5192395" cy="4007485"/>
            <wp:effectExtent l="19050" t="0" r="8255" b="0"/>
            <wp:docPr id="4" name="Image 2" descr="D:\Boulot\Université\Production scientifique\Articles\Articles en cours\BT1 2\Figure SI\Figure 2 radius\Figure 2 SI radius f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oulot\Université\Production scientifique\Articles\Articles en cours\BT1 2\Figure SI\Figure 2 radius\Figure 2 SI radius fu.tif"/>
                    <pic:cNvPicPr>
                      <a:picLocks noChangeAspect="1" noChangeArrowheads="1"/>
                    </pic:cNvPicPr>
                  </pic:nvPicPr>
                  <pic:blipFill>
                    <a:blip r:embed="rId5" cstate="print"/>
                    <a:srcRect/>
                    <a:stretch>
                      <a:fillRect/>
                    </a:stretch>
                  </pic:blipFill>
                  <pic:spPr bwMode="auto">
                    <a:xfrm>
                      <a:off x="0" y="0"/>
                      <a:ext cx="5192395" cy="4007485"/>
                    </a:xfrm>
                    <a:prstGeom prst="rect">
                      <a:avLst/>
                    </a:prstGeom>
                    <a:noFill/>
                    <a:ln w="9525">
                      <a:noFill/>
                      <a:miter lim="800000"/>
                      <a:headEnd/>
                      <a:tailEnd/>
                    </a:ln>
                  </pic:spPr>
                </pic:pic>
              </a:graphicData>
            </a:graphic>
          </wp:inline>
        </w:drawing>
      </w: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roofErr w:type="gramStart"/>
      <w:r w:rsidRPr="00141AE8">
        <w:rPr>
          <w:rFonts w:asciiTheme="minorHAnsi" w:hAnsiTheme="minorHAnsi"/>
          <w:szCs w:val="24"/>
        </w:rPr>
        <w:lastRenderedPageBreak/>
        <w:t>Figure 3.</w:t>
      </w:r>
      <w:proofErr w:type="gramEnd"/>
      <w:r w:rsidRPr="00141AE8">
        <w:rPr>
          <w:rFonts w:asciiTheme="minorHAnsi" w:hAnsiTheme="minorHAnsi"/>
          <w:szCs w:val="24"/>
        </w:rPr>
        <w:t xml:space="preserve"> </w:t>
      </w:r>
      <w:proofErr w:type="spellStart"/>
      <w:proofErr w:type="gramStart"/>
      <w:r w:rsidRPr="00141AE8">
        <w:rPr>
          <w:rFonts w:asciiTheme="minorHAnsi" w:hAnsiTheme="minorHAnsi"/>
          <w:szCs w:val="24"/>
        </w:rPr>
        <w:t>Ulnar</w:t>
      </w:r>
      <w:proofErr w:type="spellEnd"/>
      <w:r w:rsidRPr="00141AE8">
        <w:rPr>
          <w:rFonts w:asciiTheme="minorHAnsi" w:hAnsiTheme="minorHAnsi"/>
          <w:szCs w:val="24"/>
        </w:rPr>
        <w:t xml:space="preserve"> bilateral asymmetry in </w:t>
      </w:r>
      <w:proofErr w:type="spellStart"/>
      <w:r w:rsidRPr="00141AE8">
        <w:rPr>
          <w:rFonts w:asciiTheme="minorHAnsi" w:hAnsiTheme="minorHAnsi"/>
          <w:szCs w:val="24"/>
        </w:rPr>
        <w:t>diaphyseal</w:t>
      </w:r>
      <w:proofErr w:type="spellEnd"/>
      <w:r w:rsidRPr="00141AE8">
        <w:rPr>
          <w:rFonts w:asciiTheme="minorHAnsi" w:hAnsiTheme="minorHAnsi"/>
          <w:szCs w:val="24"/>
        </w:rPr>
        <w:t xml:space="preserve"> rigidity [100 x (max J – min J)/ min J].</w:t>
      </w:r>
      <w:proofErr w:type="gramEnd"/>
      <w:r w:rsidRPr="00141AE8">
        <w:rPr>
          <w:rFonts w:asciiTheme="minorHAnsi" w:hAnsiTheme="minorHAnsi"/>
          <w:szCs w:val="24"/>
        </w:rPr>
        <w:t xml:space="preserve"> </w:t>
      </w:r>
      <w:r w:rsidR="00141AE8" w:rsidRPr="00141AE8">
        <w:rPr>
          <w:rFonts w:asciiTheme="minorHAnsi" w:hAnsiTheme="minorHAnsi"/>
          <w:szCs w:val="24"/>
        </w:rPr>
        <w:t xml:space="preserve">J: polar moment of area, </w:t>
      </w:r>
      <w:proofErr w:type="gramStart"/>
      <w:r w:rsidR="00141AE8" w:rsidRPr="00141AE8">
        <w:rPr>
          <w:rFonts w:asciiTheme="minorHAnsi" w:hAnsiTheme="minorHAnsi"/>
          <w:szCs w:val="24"/>
        </w:rPr>
        <w:t>mm</w:t>
      </w:r>
      <w:r w:rsidR="00141AE8" w:rsidRPr="00141AE8">
        <w:rPr>
          <w:rFonts w:asciiTheme="minorHAnsi" w:hAnsiTheme="minorHAnsi"/>
          <w:szCs w:val="24"/>
          <w:vertAlign w:val="superscript"/>
        </w:rPr>
        <w:t>4</w:t>
      </w:r>
      <w:r w:rsidR="00141AE8" w:rsidRPr="00141AE8">
        <w:rPr>
          <w:rFonts w:asciiTheme="minorHAnsi" w:hAnsiTheme="minorHAnsi"/>
          <w:szCs w:val="24"/>
          <w:vertAlign w:val="superscript"/>
        </w:rPr>
        <w:t xml:space="preserve"> </w:t>
      </w:r>
      <w:r w:rsidR="00141AE8" w:rsidRPr="00141AE8">
        <w:rPr>
          <w:rFonts w:asciiTheme="minorHAnsi" w:hAnsiTheme="minorHAnsi"/>
          <w:szCs w:val="24"/>
        </w:rPr>
        <w:t>.</w:t>
      </w:r>
      <w:proofErr w:type="gramEnd"/>
      <w:r w:rsidR="00141AE8" w:rsidRPr="00141AE8">
        <w:rPr>
          <w:rFonts w:asciiTheme="minorHAnsi" w:hAnsiTheme="minorHAnsi"/>
          <w:szCs w:val="24"/>
        </w:rPr>
        <w:t xml:space="preserve"> F</w:t>
      </w:r>
      <w:r w:rsidRPr="00141AE8">
        <w:rPr>
          <w:rFonts w:asciiTheme="minorHAnsi" w:hAnsiTheme="minorHAnsi"/>
          <w:szCs w:val="24"/>
        </w:rPr>
        <w:t>or explanations, see figure 1.</w:t>
      </w: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r w:rsidRPr="00141AE8">
        <w:rPr>
          <w:rFonts w:asciiTheme="minorHAnsi" w:hAnsiTheme="minorHAnsi"/>
          <w:noProof/>
          <w:szCs w:val="24"/>
          <w:lang w:val="fr-FR" w:eastAsia="fr-FR"/>
        </w:rPr>
        <w:drawing>
          <wp:inline distT="0" distB="0" distL="0" distR="0">
            <wp:extent cx="3601720" cy="2695575"/>
            <wp:effectExtent l="19050" t="0" r="0" b="0"/>
            <wp:docPr id="7" name="Image 3" descr="D:\Boulot\Université\Production scientifique\Articles\Articles en cours\BT1 2\Figure SI\Figure 3 Ulna asym\Figure 3 asym f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oulot\Université\Production scientifique\Articles\Articles en cours\BT1 2\Figure SI\Figure 3 Ulna asym\Figure 3 asym fu.tif"/>
                    <pic:cNvPicPr>
                      <a:picLocks noChangeAspect="1" noChangeArrowheads="1"/>
                    </pic:cNvPicPr>
                  </pic:nvPicPr>
                  <pic:blipFill>
                    <a:blip r:embed="rId6" cstate="print"/>
                    <a:srcRect/>
                    <a:stretch>
                      <a:fillRect/>
                    </a:stretch>
                  </pic:blipFill>
                  <pic:spPr bwMode="auto">
                    <a:xfrm>
                      <a:off x="0" y="0"/>
                      <a:ext cx="3601720" cy="2695575"/>
                    </a:xfrm>
                    <a:prstGeom prst="rect">
                      <a:avLst/>
                    </a:prstGeom>
                    <a:noFill/>
                    <a:ln w="9525">
                      <a:noFill/>
                      <a:miter lim="800000"/>
                      <a:headEnd/>
                      <a:tailEnd/>
                    </a:ln>
                  </pic:spPr>
                </pic:pic>
              </a:graphicData>
            </a:graphic>
          </wp:inline>
        </w:drawing>
      </w: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roofErr w:type="gramStart"/>
      <w:r w:rsidRPr="00141AE8">
        <w:rPr>
          <w:rFonts w:asciiTheme="minorHAnsi" w:hAnsiTheme="minorHAnsi"/>
          <w:szCs w:val="24"/>
        </w:rPr>
        <w:lastRenderedPageBreak/>
        <w:t>Figure 4.</w:t>
      </w:r>
      <w:proofErr w:type="gramEnd"/>
      <w:r w:rsidRPr="00141AE8">
        <w:rPr>
          <w:rFonts w:asciiTheme="minorHAnsi" w:hAnsiTheme="minorHAnsi"/>
          <w:szCs w:val="24"/>
        </w:rPr>
        <w:t xml:space="preserve"> Fibular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w:t>
      </w:r>
      <w:r w:rsidR="00141AE8" w:rsidRPr="00141AE8">
        <w:rPr>
          <w:rFonts w:asciiTheme="minorHAnsi" w:hAnsiTheme="minorHAnsi"/>
          <w:szCs w:val="24"/>
        </w:rPr>
        <w:t xml:space="preserve">[section modulus </w:t>
      </w:r>
      <w:proofErr w:type="spellStart"/>
      <w:r w:rsidR="00141AE8" w:rsidRPr="00141AE8">
        <w:rPr>
          <w:rFonts w:asciiTheme="minorHAnsi" w:hAnsiTheme="minorHAnsi"/>
          <w:szCs w:val="24"/>
        </w:rPr>
        <w:t>Zp</w:t>
      </w:r>
      <w:proofErr w:type="spellEnd"/>
      <w:r w:rsidR="00141AE8" w:rsidRPr="00141AE8">
        <w:rPr>
          <w:rFonts w:asciiTheme="minorHAnsi" w:hAnsiTheme="minorHAnsi"/>
          <w:szCs w:val="24"/>
        </w:rPr>
        <w:t xml:space="preserve"> (mm</w:t>
      </w:r>
      <w:r w:rsidR="00141AE8" w:rsidRPr="00141AE8">
        <w:rPr>
          <w:rFonts w:asciiTheme="minorHAnsi" w:hAnsiTheme="minorHAnsi"/>
          <w:szCs w:val="24"/>
          <w:vertAlign w:val="superscript"/>
        </w:rPr>
        <w:t>3</w:t>
      </w:r>
      <w:r w:rsidR="00141AE8" w:rsidRPr="00141AE8">
        <w:rPr>
          <w:rFonts w:asciiTheme="minorHAnsi" w:hAnsiTheme="minorHAnsi"/>
          <w:szCs w:val="24"/>
        </w:rPr>
        <w:t>) standardized by dividing for body mass (kg) and bone length (mm)</w:t>
      </w:r>
      <w:proofErr w:type="gramStart"/>
      <w:r w:rsidR="00141AE8" w:rsidRPr="00141AE8">
        <w:rPr>
          <w:rFonts w:asciiTheme="minorHAnsi" w:hAnsiTheme="minorHAnsi"/>
          <w:szCs w:val="24"/>
        </w:rPr>
        <w:t>]</w:t>
      </w:r>
      <w:r w:rsidR="00141AE8" w:rsidRPr="00141AE8">
        <w:rPr>
          <w:rFonts w:asciiTheme="minorHAnsi" w:hAnsiTheme="minorHAnsi"/>
          <w:szCs w:val="24"/>
        </w:rPr>
        <w:t xml:space="preserve"> </w:t>
      </w:r>
      <w:r w:rsidRPr="00141AE8">
        <w:rPr>
          <w:rFonts w:asciiTheme="minorHAnsi" w:hAnsiTheme="minorHAnsi"/>
          <w:szCs w:val="24"/>
        </w:rPr>
        <w:t xml:space="preserve"> and</w:t>
      </w:r>
      <w:proofErr w:type="gramEnd"/>
      <w:r w:rsidRPr="00141AE8">
        <w:rPr>
          <w:rFonts w:asciiTheme="minorHAnsi" w:hAnsiTheme="minorHAnsi"/>
          <w:szCs w:val="24"/>
        </w:rPr>
        <w:t xml:space="preserve"> relative fibular/</w:t>
      </w:r>
      <w:proofErr w:type="spellStart"/>
      <w:r w:rsidRPr="00141AE8">
        <w:rPr>
          <w:rFonts w:asciiTheme="minorHAnsi" w:hAnsiTheme="minorHAnsi"/>
          <w:szCs w:val="24"/>
        </w:rPr>
        <w:t>tibial</w:t>
      </w:r>
      <w:proofErr w:type="spellEnd"/>
      <w:r w:rsidRPr="00141AE8">
        <w:rPr>
          <w:rFonts w:asciiTheme="minorHAnsi" w:hAnsiTheme="minorHAnsi"/>
          <w:szCs w:val="24"/>
        </w:rPr>
        <w:t xml:space="preserve">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[100 x (fibular J/</w:t>
      </w:r>
      <w:proofErr w:type="spellStart"/>
      <w:r w:rsidRPr="00141AE8">
        <w:rPr>
          <w:rFonts w:asciiTheme="minorHAnsi" w:hAnsiTheme="minorHAnsi"/>
          <w:szCs w:val="24"/>
        </w:rPr>
        <w:t>tibial</w:t>
      </w:r>
      <w:proofErr w:type="spellEnd"/>
      <w:r w:rsidRPr="00141AE8">
        <w:rPr>
          <w:rFonts w:asciiTheme="minorHAnsi" w:hAnsiTheme="minorHAnsi"/>
          <w:szCs w:val="24"/>
        </w:rPr>
        <w:t xml:space="preserve"> J)]. For explanations, see figure 1.</w:t>
      </w: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szCs w:val="24"/>
        </w:rPr>
      </w:pPr>
      <w:r w:rsidRPr="00141AE8">
        <w:rPr>
          <w:rFonts w:asciiTheme="minorHAnsi" w:hAnsiTheme="minorHAnsi"/>
          <w:noProof/>
          <w:szCs w:val="24"/>
          <w:lang w:val="fr-FR" w:eastAsia="fr-FR"/>
        </w:rPr>
        <w:drawing>
          <wp:inline distT="0" distB="0" distL="0" distR="0">
            <wp:extent cx="2671445" cy="4222115"/>
            <wp:effectExtent l="19050" t="0" r="0" b="0"/>
            <wp:docPr id="8" name="Image 4" descr="D:\Boulot\Université\Production scientifique\Articles\Articles en cours\BT1 2\Figure SI\Figure 4 fibula\Figure 4 SI fibul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oulot\Université\Production scientifique\Articles\Articles en cours\BT1 2\Figure SI\Figure 4 fibula\Figure 4 SI fibula.tif"/>
                    <pic:cNvPicPr>
                      <a:picLocks noChangeAspect="1" noChangeArrowheads="1"/>
                    </pic:cNvPicPr>
                  </pic:nvPicPr>
                  <pic:blipFill>
                    <a:blip r:embed="rId7" cstate="print"/>
                    <a:srcRect/>
                    <a:stretch>
                      <a:fillRect/>
                    </a:stretch>
                  </pic:blipFill>
                  <pic:spPr bwMode="auto">
                    <a:xfrm>
                      <a:off x="0" y="0"/>
                      <a:ext cx="2671445" cy="4222115"/>
                    </a:xfrm>
                    <a:prstGeom prst="rect">
                      <a:avLst/>
                    </a:prstGeom>
                    <a:noFill/>
                    <a:ln w="9525">
                      <a:noFill/>
                      <a:miter lim="800000"/>
                      <a:headEnd/>
                      <a:tailEnd/>
                    </a:ln>
                  </pic:spPr>
                </pic:pic>
              </a:graphicData>
            </a:graphic>
          </wp:inline>
        </w:drawing>
      </w:r>
    </w:p>
    <w:p w:rsidR="006913B8" w:rsidRPr="00141AE8" w:rsidRDefault="006913B8" w:rsidP="006913B8">
      <w:pPr>
        <w:spacing w:line="360" w:lineRule="auto"/>
        <w:jc w:val="both"/>
        <w:rPr>
          <w:rFonts w:asciiTheme="minorHAnsi" w:hAnsiTheme="minorHAnsi"/>
          <w:szCs w:val="24"/>
        </w:rPr>
      </w:pPr>
    </w:p>
    <w:p w:rsidR="006913B8" w:rsidRPr="00141AE8" w:rsidRDefault="006913B8" w:rsidP="006913B8">
      <w:pPr>
        <w:spacing w:line="360" w:lineRule="auto"/>
        <w:jc w:val="both"/>
        <w:rPr>
          <w:rFonts w:asciiTheme="minorHAnsi" w:hAnsiTheme="minorHAnsi"/>
          <w:b/>
          <w:szCs w:val="24"/>
        </w:rPr>
      </w:pPr>
      <w:r w:rsidRPr="00141AE8">
        <w:rPr>
          <w:rFonts w:asciiTheme="minorHAnsi" w:hAnsiTheme="minorHAnsi"/>
          <w:b/>
          <w:szCs w:val="24"/>
        </w:rPr>
        <w:t xml:space="preserve">References </w:t>
      </w:r>
    </w:p>
    <w:p w:rsidR="006913B8" w:rsidRPr="00141AE8" w:rsidRDefault="006913B8" w:rsidP="006913B8">
      <w:pPr>
        <w:spacing w:line="360" w:lineRule="auto"/>
        <w:ind w:left="360" w:hanging="360"/>
        <w:jc w:val="both"/>
        <w:rPr>
          <w:rFonts w:asciiTheme="minorHAnsi" w:hAnsiTheme="minorHAnsi"/>
          <w:szCs w:val="24"/>
        </w:rPr>
      </w:pP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Carlson, K.J., </w:t>
      </w:r>
      <w:proofErr w:type="spellStart"/>
      <w:r w:rsidRPr="00141AE8">
        <w:rPr>
          <w:rFonts w:asciiTheme="minorHAnsi" w:hAnsiTheme="minorHAnsi"/>
          <w:szCs w:val="24"/>
        </w:rPr>
        <w:t>Marchi</w:t>
      </w:r>
      <w:proofErr w:type="spellEnd"/>
      <w:r w:rsidRPr="00141AE8">
        <w:rPr>
          <w:rFonts w:asciiTheme="minorHAnsi" w:hAnsiTheme="minorHAnsi"/>
          <w:szCs w:val="24"/>
        </w:rPr>
        <w:t xml:space="preserve">, D. 2014. Introduction: towards refining the concept of mobility, in Carlson, K.J. and </w:t>
      </w:r>
      <w:proofErr w:type="spellStart"/>
      <w:r w:rsidRPr="00141AE8">
        <w:rPr>
          <w:rFonts w:asciiTheme="minorHAnsi" w:hAnsiTheme="minorHAnsi"/>
          <w:szCs w:val="24"/>
        </w:rPr>
        <w:t>Marchi</w:t>
      </w:r>
      <w:proofErr w:type="spellEnd"/>
      <w:r w:rsidRPr="00141AE8">
        <w:rPr>
          <w:rFonts w:asciiTheme="minorHAnsi" w:hAnsiTheme="minorHAnsi"/>
          <w:szCs w:val="24"/>
        </w:rPr>
        <w:t xml:space="preserve">, D. (Eds.), Reconstructing mobility. </w:t>
      </w:r>
      <w:proofErr w:type="gramStart"/>
      <w:r w:rsidRPr="00141AE8">
        <w:rPr>
          <w:rFonts w:asciiTheme="minorHAnsi" w:hAnsiTheme="minorHAnsi"/>
          <w:szCs w:val="24"/>
        </w:rPr>
        <w:t xml:space="preserve">Environmental, </w:t>
      </w:r>
      <w:proofErr w:type="spellStart"/>
      <w:r w:rsidRPr="00141AE8">
        <w:rPr>
          <w:rFonts w:asciiTheme="minorHAnsi" w:hAnsiTheme="minorHAnsi"/>
          <w:szCs w:val="24"/>
        </w:rPr>
        <w:t>behavioural</w:t>
      </w:r>
      <w:proofErr w:type="spellEnd"/>
      <w:r w:rsidRPr="00141AE8">
        <w:rPr>
          <w:rFonts w:asciiTheme="minorHAnsi" w:hAnsiTheme="minorHAnsi"/>
          <w:szCs w:val="24"/>
        </w:rPr>
        <w:t>, and morphological determinants.</w:t>
      </w:r>
      <w:proofErr w:type="gramEnd"/>
      <w:r w:rsidRPr="00141AE8">
        <w:rPr>
          <w:rFonts w:asciiTheme="minorHAnsi" w:hAnsiTheme="minorHAnsi"/>
          <w:szCs w:val="24"/>
        </w:rPr>
        <w:t xml:space="preserve"> New York: Springer. </w:t>
      </w:r>
      <w:proofErr w:type="gramStart"/>
      <w:r w:rsidRPr="00141AE8">
        <w:rPr>
          <w:rFonts w:asciiTheme="minorHAnsi" w:hAnsiTheme="minorHAnsi"/>
          <w:szCs w:val="24"/>
        </w:rPr>
        <w:t>1-12.</w:t>
      </w:r>
      <w:proofErr w:type="gramEnd"/>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Churchill, S.E., Formicola, V., </w:t>
      </w:r>
      <w:proofErr w:type="spellStart"/>
      <w:r w:rsidRPr="00141AE8">
        <w:rPr>
          <w:rFonts w:asciiTheme="minorHAnsi" w:hAnsiTheme="minorHAnsi"/>
          <w:szCs w:val="24"/>
        </w:rPr>
        <w:t>Holliday</w:t>
      </w:r>
      <w:proofErr w:type="gramStart"/>
      <w:r w:rsidRPr="00141AE8">
        <w:rPr>
          <w:rFonts w:asciiTheme="minorHAnsi" w:hAnsiTheme="minorHAnsi"/>
          <w:szCs w:val="24"/>
        </w:rPr>
        <w:t>,T.W</w:t>
      </w:r>
      <w:proofErr w:type="spellEnd"/>
      <w:proofErr w:type="gramEnd"/>
      <w:r w:rsidRPr="00141AE8">
        <w:rPr>
          <w:rFonts w:asciiTheme="minorHAnsi" w:hAnsiTheme="minorHAnsi"/>
          <w:szCs w:val="24"/>
        </w:rPr>
        <w:t xml:space="preserve">., Holt, B.M., Schumann, B.A., 2000. </w:t>
      </w:r>
      <w:proofErr w:type="gramStart"/>
      <w:r w:rsidRPr="00141AE8">
        <w:rPr>
          <w:rFonts w:asciiTheme="minorHAnsi" w:hAnsiTheme="minorHAnsi"/>
          <w:szCs w:val="24"/>
        </w:rPr>
        <w:t xml:space="preserve">The Upper </w:t>
      </w:r>
      <w:proofErr w:type="spellStart"/>
      <w:r w:rsidRPr="00141AE8">
        <w:rPr>
          <w:rFonts w:asciiTheme="minorHAnsi" w:hAnsiTheme="minorHAnsi"/>
          <w:szCs w:val="24"/>
        </w:rPr>
        <w:t>Palaeolithic</w:t>
      </w:r>
      <w:proofErr w:type="spellEnd"/>
      <w:r w:rsidRPr="00141AE8">
        <w:rPr>
          <w:rFonts w:asciiTheme="minorHAnsi" w:hAnsiTheme="minorHAnsi"/>
          <w:szCs w:val="24"/>
        </w:rPr>
        <w:t xml:space="preserve"> population of Europe in an evolutionary perspective.</w:t>
      </w:r>
      <w:proofErr w:type="gramEnd"/>
      <w:r w:rsidRPr="00141AE8">
        <w:rPr>
          <w:rFonts w:asciiTheme="minorHAnsi" w:hAnsiTheme="minorHAnsi"/>
          <w:szCs w:val="24"/>
        </w:rPr>
        <w:t xml:space="preserve"> In: </w:t>
      </w:r>
      <w:proofErr w:type="spellStart"/>
      <w:r w:rsidRPr="00141AE8">
        <w:rPr>
          <w:rFonts w:asciiTheme="minorHAnsi" w:hAnsiTheme="minorHAnsi"/>
          <w:szCs w:val="24"/>
        </w:rPr>
        <w:t>Roebroeks</w:t>
      </w:r>
      <w:proofErr w:type="spellEnd"/>
      <w:r w:rsidRPr="00141AE8">
        <w:rPr>
          <w:rFonts w:asciiTheme="minorHAnsi" w:hAnsiTheme="minorHAnsi"/>
          <w:szCs w:val="24"/>
        </w:rPr>
        <w:t xml:space="preserve">, W., </w:t>
      </w:r>
      <w:proofErr w:type="spellStart"/>
      <w:r w:rsidRPr="00141AE8">
        <w:rPr>
          <w:rFonts w:asciiTheme="minorHAnsi" w:hAnsiTheme="minorHAnsi"/>
          <w:szCs w:val="24"/>
        </w:rPr>
        <w:t>Mussi</w:t>
      </w:r>
      <w:proofErr w:type="spellEnd"/>
      <w:r w:rsidRPr="00141AE8">
        <w:rPr>
          <w:rFonts w:asciiTheme="minorHAnsi" w:hAnsiTheme="minorHAnsi"/>
          <w:szCs w:val="24"/>
        </w:rPr>
        <w:t xml:space="preserve">, M., Svoboda, J., </w:t>
      </w:r>
      <w:proofErr w:type="spellStart"/>
      <w:r w:rsidRPr="00141AE8">
        <w:rPr>
          <w:rFonts w:asciiTheme="minorHAnsi" w:hAnsiTheme="minorHAnsi"/>
          <w:szCs w:val="24"/>
        </w:rPr>
        <w:t>Fennema</w:t>
      </w:r>
      <w:proofErr w:type="spellEnd"/>
      <w:r w:rsidRPr="00141AE8">
        <w:rPr>
          <w:rFonts w:asciiTheme="minorHAnsi" w:hAnsiTheme="minorHAnsi"/>
          <w:szCs w:val="24"/>
        </w:rPr>
        <w:t>, K. (Eds.), Hunters of the Golden Age. University of Leiden Press, Leiden, pp. 31-57.</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lastRenderedPageBreak/>
        <w:t xml:space="preserve">Holt, B., 1999. </w:t>
      </w:r>
      <w:proofErr w:type="gramStart"/>
      <w:r w:rsidRPr="00141AE8">
        <w:rPr>
          <w:rFonts w:asciiTheme="minorHAnsi" w:hAnsiTheme="minorHAnsi"/>
          <w:szCs w:val="24"/>
        </w:rPr>
        <w:t>Biomechanical evidence of decreased mobility in Upper Paleolithic and Mesolithic Europe.</w:t>
      </w:r>
      <w:proofErr w:type="gramEnd"/>
      <w:r w:rsidRPr="00141AE8">
        <w:rPr>
          <w:rFonts w:asciiTheme="minorHAnsi" w:hAnsiTheme="minorHAnsi"/>
          <w:szCs w:val="24"/>
        </w:rPr>
        <w:t xml:space="preserve"> </w:t>
      </w:r>
      <w:proofErr w:type="gramStart"/>
      <w:r w:rsidRPr="00141AE8">
        <w:rPr>
          <w:rFonts w:asciiTheme="minorHAnsi" w:hAnsiTheme="minorHAnsi"/>
          <w:szCs w:val="24"/>
        </w:rPr>
        <w:t>Ph.D. dissertation.</w:t>
      </w:r>
      <w:proofErr w:type="gramEnd"/>
      <w:r w:rsidRPr="00141AE8">
        <w:rPr>
          <w:rFonts w:asciiTheme="minorHAnsi" w:hAnsiTheme="minorHAnsi"/>
          <w:szCs w:val="24"/>
        </w:rPr>
        <w:t xml:space="preserve"> </w:t>
      </w:r>
      <w:proofErr w:type="gramStart"/>
      <w:r w:rsidRPr="00141AE8">
        <w:rPr>
          <w:rFonts w:asciiTheme="minorHAnsi" w:hAnsiTheme="minorHAnsi"/>
          <w:szCs w:val="24"/>
        </w:rPr>
        <w:t>University of Missouri-Columbia.</w:t>
      </w:r>
      <w:proofErr w:type="gramEnd"/>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Holt, B.M. 2003. Mobility in Upper Paleolithic and Mesolithic Europe: evidence from the lower limb. Am. J. Phys. </w:t>
      </w:r>
      <w:proofErr w:type="spellStart"/>
      <w:r w:rsidRPr="00141AE8">
        <w:rPr>
          <w:rFonts w:asciiTheme="minorHAnsi" w:hAnsiTheme="minorHAnsi"/>
          <w:szCs w:val="24"/>
        </w:rPr>
        <w:t>Anthropol</w:t>
      </w:r>
      <w:proofErr w:type="spellEnd"/>
      <w:r w:rsidRPr="00141AE8">
        <w:rPr>
          <w:rFonts w:asciiTheme="minorHAnsi" w:hAnsiTheme="minorHAnsi"/>
          <w:szCs w:val="24"/>
        </w:rPr>
        <w:t>. 122, 200–215.</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Macintosh, A.A., Davies, T.G., Ryan, T.M., Shaw, C.N., Stock, J.T., 2013. </w:t>
      </w:r>
      <w:proofErr w:type="spellStart"/>
      <w:r w:rsidRPr="00141AE8">
        <w:rPr>
          <w:rFonts w:asciiTheme="minorHAnsi" w:hAnsiTheme="minorHAnsi"/>
          <w:szCs w:val="24"/>
        </w:rPr>
        <w:t>Periosteal</w:t>
      </w:r>
      <w:proofErr w:type="spellEnd"/>
      <w:r w:rsidRPr="00141AE8">
        <w:rPr>
          <w:rFonts w:asciiTheme="minorHAnsi" w:hAnsiTheme="minorHAnsi"/>
          <w:szCs w:val="24"/>
        </w:rPr>
        <w:t xml:space="preserve"> versus true cross-sectional geometry: A comparison along humeral, femoral and </w:t>
      </w:r>
      <w:proofErr w:type="spellStart"/>
      <w:r w:rsidRPr="00141AE8">
        <w:rPr>
          <w:rFonts w:asciiTheme="minorHAnsi" w:hAnsiTheme="minorHAnsi"/>
          <w:szCs w:val="24"/>
        </w:rPr>
        <w:t>tibial</w:t>
      </w:r>
      <w:proofErr w:type="spellEnd"/>
      <w:r w:rsidRPr="00141AE8">
        <w:rPr>
          <w:rFonts w:asciiTheme="minorHAnsi" w:hAnsiTheme="minorHAnsi"/>
          <w:szCs w:val="24"/>
        </w:rPr>
        <w:t xml:space="preserve"> </w:t>
      </w:r>
      <w:proofErr w:type="spellStart"/>
      <w:r w:rsidRPr="00141AE8">
        <w:rPr>
          <w:rFonts w:asciiTheme="minorHAnsi" w:hAnsiTheme="minorHAnsi"/>
          <w:szCs w:val="24"/>
        </w:rPr>
        <w:t>diaphyses</w:t>
      </w:r>
      <w:proofErr w:type="spellEnd"/>
      <w:r w:rsidRPr="00141AE8">
        <w:rPr>
          <w:rFonts w:asciiTheme="minorHAnsi" w:hAnsiTheme="minorHAnsi"/>
          <w:szCs w:val="24"/>
        </w:rPr>
        <w:t xml:space="preserve">. Am. J. Phys. </w:t>
      </w:r>
      <w:proofErr w:type="spellStart"/>
      <w:r w:rsidRPr="00141AE8">
        <w:rPr>
          <w:rFonts w:asciiTheme="minorHAnsi" w:hAnsiTheme="minorHAnsi"/>
          <w:szCs w:val="24"/>
        </w:rPr>
        <w:t>Anthropol</w:t>
      </w:r>
      <w:proofErr w:type="spellEnd"/>
      <w:r w:rsidRPr="00141AE8">
        <w:rPr>
          <w:rFonts w:asciiTheme="minorHAnsi" w:hAnsiTheme="minorHAnsi"/>
          <w:szCs w:val="24"/>
        </w:rPr>
        <w:t>. 150, 442-452.</w:t>
      </w:r>
    </w:p>
    <w:p w:rsidR="006913B8" w:rsidRPr="00141AE8" w:rsidRDefault="006913B8" w:rsidP="006913B8">
      <w:pPr>
        <w:spacing w:line="360" w:lineRule="auto"/>
        <w:ind w:left="360" w:hanging="360"/>
        <w:jc w:val="both"/>
        <w:rPr>
          <w:rFonts w:asciiTheme="minorHAnsi" w:hAnsiTheme="minorHAnsi"/>
          <w:szCs w:val="24"/>
        </w:rPr>
      </w:pPr>
      <w:proofErr w:type="spellStart"/>
      <w:proofErr w:type="gramStart"/>
      <w:r w:rsidRPr="00141AE8">
        <w:rPr>
          <w:rFonts w:asciiTheme="minorHAnsi" w:hAnsiTheme="minorHAnsi"/>
          <w:szCs w:val="24"/>
        </w:rPr>
        <w:t>Marchi</w:t>
      </w:r>
      <w:proofErr w:type="spellEnd"/>
      <w:r w:rsidRPr="00141AE8">
        <w:rPr>
          <w:rFonts w:asciiTheme="minorHAnsi" w:hAnsiTheme="minorHAnsi"/>
          <w:szCs w:val="24"/>
        </w:rPr>
        <w:t>, D., Shaw, C.N. 2011.</w:t>
      </w:r>
      <w:proofErr w:type="gramEnd"/>
      <w:r w:rsidRPr="00141AE8">
        <w:rPr>
          <w:rFonts w:asciiTheme="minorHAnsi" w:hAnsiTheme="minorHAnsi"/>
          <w:szCs w:val="24"/>
        </w:rPr>
        <w:t xml:space="preserve"> Variation in fibular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reflects variation in mobility patterns. J. Hum. </w:t>
      </w:r>
      <w:proofErr w:type="spellStart"/>
      <w:proofErr w:type="gramStart"/>
      <w:r w:rsidRPr="00141AE8">
        <w:rPr>
          <w:rFonts w:asciiTheme="minorHAnsi" w:hAnsiTheme="minorHAnsi"/>
          <w:szCs w:val="24"/>
        </w:rPr>
        <w:t>Evol</w:t>
      </w:r>
      <w:proofErr w:type="spellEnd"/>
      <w:r w:rsidRPr="00141AE8">
        <w:rPr>
          <w:rFonts w:asciiTheme="minorHAnsi" w:hAnsiTheme="minorHAnsi"/>
          <w:szCs w:val="24"/>
        </w:rPr>
        <w:t>.</w:t>
      </w:r>
      <w:proofErr w:type="gramEnd"/>
      <w:r w:rsidRPr="00141AE8">
        <w:rPr>
          <w:rFonts w:asciiTheme="minorHAnsi" w:hAnsiTheme="minorHAnsi"/>
          <w:szCs w:val="24"/>
        </w:rPr>
        <w:t xml:space="preserve"> 61, 609-616.</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O’Neill, M.C., Ruff, C.B., 2004. </w:t>
      </w:r>
      <w:proofErr w:type="gramStart"/>
      <w:r w:rsidRPr="00141AE8">
        <w:rPr>
          <w:rFonts w:asciiTheme="minorHAnsi" w:hAnsiTheme="minorHAnsi"/>
          <w:szCs w:val="24"/>
        </w:rPr>
        <w:t>Estimating human long bone cross-sectional geometric properties: a comparison of noninvasive methods.</w:t>
      </w:r>
      <w:proofErr w:type="gramEnd"/>
      <w:r w:rsidRPr="00141AE8">
        <w:rPr>
          <w:rFonts w:asciiTheme="minorHAnsi" w:hAnsiTheme="minorHAnsi"/>
          <w:szCs w:val="24"/>
        </w:rPr>
        <w:t xml:space="preserve"> J. Hum. </w:t>
      </w:r>
      <w:proofErr w:type="spellStart"/>
      <w:proofErr w:type="gramStart"/>
      <w:r w:rsidRPr="00141AE8">
        <w:rPr>
          <w:rFonts w:asciiTheme="minorHAnsi" w:hAnsiTheme="minorHAnsi"/>
          <w:szCs w:val="24"/>
        </w:rPr>
        <w:t>Evol</w:t>
      </w:r>
      <w:proofErr w:type="spellEnd"/>
      <w:r w:rsidRPr="00141AE8">
        <w:rPr>
          <w:rFonts w:asciiTheme="minorHAnsi" w:hAnsiTheme="minorHAnsi"/>
          <w:szCs w:val="24"/>
        </w:rPr>
        <w:t>.</w:t>
      </w:r>
      <w:proofErr w:type="gramEnd"/>
      <w:r w:rsidRPr="00141AE8">
        <w:rPr>
          <w:rFonts w:asciiTheme="minorHAnsi" w:hAnsiTheme="minorHAnsi"/>
          <w:szCs w:val="24"/>
        </w:rPr>
        <w:t xml:space="preserve"> 47, 221-235.</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Pearson, O.M., 1997. </w:t>
      </w:r>
      <w:proofErr w:type="gramStart"/>
      <w:r w:rsidRPr="00141AE8">
        <w:rPr>
          <w:rFonts w:asciiTheme="minorHAnsi" w:hAnsiTheme="minorHAnsi"/>
          <w:szCs w:val="24"/>
        </w:rPr>
        <w:t>Postcranial Morphology and the Origin of Modern Humans.</w:t>
      </w:r>
      <w:proofErr w:type="gramEnd"/>
      <w:r w:rsidRPr="00141AE8">
        <w:rPr>
          <w:rFonts w:asciiTheme="minorHAnsi" w:hAnsiTheme="minorHAnsi"/>
          <w:szCs w:val="24"/>
        </w:rPr>
        <w:t xml:space="preserve"> </w:t>
      </w:r>
      <w:proofErr w:type="gramStart"/>
      <w:r w:rsidRPr="00141AE8">
        <w:rPr>
          <w:rFonts w:asciiTheme="minorHAnsi" w:hAnsiTheme="minorHAnsi"/>
          <w:szCs w:val="24"/>
        </w:rPr>
        <w:t>Ph.D. thesis.</w:t>
      </w:r>
      <w:proofErr w:type="gramEnd"/>
      <w:r w:rsidRPr="00141AE8">
        <w:rPr>
          <w:rFonts w:asciiTheme="minorHAnsi" w:hAnsiTheme="minorHAnsi"/>
          <w:szCs w:val="24"/>
        </w:rPr>
        <w:t xml:space="preserve"> </w:t>
      </w:r>
      <w:proofErr w:type="gramStart"/>
      <w:r w:rsidRPr="00141AE8">
        <w:rPr>
          <w:rFonts w:asciiTheme="minorHAnsi" w:hAnsiTheme="minorHAnsi"/>
          <w:szCs w:val="24"/>
        </w:rPr>
        <w:t>State University of New York, Stony Brook.</w:t>
      </w:r>
      <w:proofErr w:type="gramEnd"/>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Pearson, O.M., Cordero, R.M, and Busby, A.M. 2006. How different were Neanderthals' habitual activities? A comparative analysis with diverse groups of recent humans, in: </w:t>
      </w:r>
      <w:proofErr w:type="spellStart"/>
      <w:r w:rsidRPr="00141AE8">
        <w:rPr>
          <w:rFonts w:asciiTheme="minorHAnsi" w:hAnsiTheme="minorHAnsi"/>
          <w:szCs w:val="24"/>
        </w:rPr>
        <w:t>Harvati</w:t>
      </w:r>
      <w:proofErr w:type="spellEnd"/>
      <w:r w:rsidRPr="00141AE8">
        <w:rPr>
          <w:rFonts w:asciiTheme="minorHAnsi" w:hAnsiTheme="minorHAnsi"/>
          <w:szCs w:val="24"/>
        </w:rPr>
        <w:t>, K. and Harrison, T. (Eds.), Neanderthals Revisited: New Approaches and Perspectives. New York: Springer, 135-156.</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Pearson, O.M., Lieberman, D.E., 2004. The aging of </w:t>
      </w:r>
      <w:proofErr w:type="gramStart"/>
      <w:r w:rsidRPr="00141AE8">
        <w:rPr>
          <w:rFonts w:asciiTheme="minorHAnsi" w:hAnsiTheme="minorHAnsi"/>
          <w:szCs w:val="24"/>
        </w:rPr>
        <w:t>Wolff ’s</w:t>
      </w:r>
      <w:proofErr w:type="gramEnd"/>
      <w:r w:rsidRPr="00141AE8">
        <w:rPr>
          <w:rFonts w:asciiTheme="minorHAnsi" w:hAnsiTheme="minorHAnsi"/>
          <w:szCs w:val="24"/>
        </w:rPr>
        <w:t xml:space="preserve"> ‘‘law:’’ ontogeny and responses to mechanical loading in cortical bone. </w:t>
      </w:r>
      <w:proofErr w:type="spellStart"/>
      <w:proofErr w:type="gramStart"/>
      <w:r w:rsidRPr="00141AE8">
        <w:rPr>
          <w:rFonts w:asciiTheme="minorHAnsi" w:hAnsiTheme="minorHAnsi"/>
          <w:szCs w:val="24"/>
        </w:rPr>
        <w:t>Yrbk</w:t>
      </w:r>
      <w:proofErr w:type="spellEnd"/>
      <w:r w:rsidRPr="00141AE8">
        <w:rPr>
          <w:rFonts w:asciiTheme="minorHAnsi" w:hAnsiTheme="minorHAnsi"/>
          <w:szCs w:val="24"/>
        </w:rPr>
        <w:t>.</w:t>
      </w:r>
      <w:proofErr w:type="gramEnd"/>
      <w:r w:rsidRPr="00141AE8">
        <w:rPr>
          <w:rFonts w:asciiTheme="minorHAnsi" w:hAnsiTheme="minorHAnsi"/>
          <w:szCs w:val="24"/>
        </w:rPr>
        <w:t xml:space="preserve"> Phys. </w:t>
      </w:r>
      <w:proofErr w:type="spellStart"/>
      <w:r w:rsidRPr="00141AE8">
        <w:rPr>
          <w:rFonts w:asciiTheme="minorHAnsi" w:hAnsiTheme="minorHAnsi"/>
          <w:szCs w:val="24"/>
        </w:rPr>
        <w:t>Anthropol</w:t>
      </w:r>
      <w:proofErr w:type="spellEnd"/>
      <w:r w:rsidRPr="00141AE8">
        <w:rPr>
          <w:rFonts w:asciiTheme="minorHAnsi" w:hAnsiTheme="minorHAnsi"/>
          <w:szCs w:val="24"/>
        </w:rPr>
        <w:t>. 47, 63–99.</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t>Pearson, O. and, Sparacello, V.S.</w:t>
      </w:r>
      <w:proofErr w:type="gramEnd"/>
      <w:r w:rsidRPr="00141AE8">
        <w:rPr>
          <w:rFonts w:asciiTheme="minorHAnsi" w:hAnsiTheme="minorHAnsi"/>
          <w:szCs w:val="24"/>
        </w:rPr>
        <w:t xml:space="preserve"> </w:t>
      </w:r>
      <w:proofErr w:type="gramStart"/>
      <w:r w:rsidRPr="00141AE8">
        <w:rPr>
          <w:rFonts w:asciiTheme="minorHAnsi" w:hAnsiTheme="minorHAnsi"/>
          <w:szCs w:val="24"/>
        </w:rPr>
        <w:t>In Press.</w:t>
      </w:r>
      <w:proofErr w:type="gramEnd"/>
      <w:r w:rsidRPr="00141AE8">
        <w:rPr>
          <w:rFonts w:asciiTheme="minorHAnsi" w:hAnsiTheme="minorHAnsi"/>
          <w:szCs w:val="24"/>
        </w:rPr>
        <w:t xml:space="preserve"> Behavioral differences between near eastern </w:t>
      </w:r>
      <w:proofErr w:type="spellStart"/>
      <w:r w:rsidRPr="00141AE8">
        <w:rPr>
          <w:rFonts w:asciiTheme="minorHAnsi" w:hAnsiTheme="minorHAnsi"/>
          <w:szCs w:val="24"/>
        </w:rPr>
        <w:t>Neandertals</w:t>
      </w:r>
      <w:proofErr w:type="spellEnd"/>
      <w:r w:rsidRPr="00141AE8">
        <w:rPr>
          <w:rFonts w:asciiTheme="minorHAnsi" w:hAnsiTheme="minorHAnsi"/>
          <w:szCs w:val="24"/>
        </w:rPr>
        <w:t xml:space="preserve"> and early modern humans from </w:t>
      </w:r>
      <w:proofErr w:type="spellStart"/>
      <w:r w:rsidRPr="00141AE8">
        <w:rPr>
          <w:rFonts w:asciiTheme="minorHAnsi" w:hAnsiTheme="minorHAnsi"/>
          <w:szCs w:val="24"/>
        </w:rPr>
        <w:t>Skhul</w:t>
      </w:r>
      <w:proofErr w:type="spellEnd"/>
      <w:r w:rsidRPr="00141AE8">
        <w:rPr>
          <w:rFonts w:asciiTheme="minorHAnsi" w:hAnsiTheme="minorHAnsi"/>
          <w:szCs w:val="24"/>
        </w:rPr>
        <w:t xml:space="preserve"> and </w:t>
      </w:r>
      <w:proofErr w:type="spellStart"/>
      <w:r w:rsidRPr="00141AE8">
        <w:rPr>
          <w:rFonts w:asciiTheme="minorHAnsi" w:hAnsiTheme="minorHAnsi"/>
          <w:szCs w:val="24"/>
        </w:rPr>
        <w:t>Qafzeh</w:t>
      </w:r>
      <w:proofErr w:type="spellEnd"/>
      <w:r w:rsidRPr="00141AE8">
        <w:rPr>
          <w:rFonts w:asciiTheme="minorHAnsi" w:hAnsiTheme="minorHAnsi"/>
          <w:szCs w:val="24"/>
        </w:rPr>
        <w:t xml:space="preserve">: an assessment based on comparative samples of Holocene humans, in: Hovers, E. and </w:t>
      </w:r>
      <w:proofErr w:type="spellStart"/>
      <w:r w:rsidRPr="00141AE8">
        <w:rPr>
          <w:rFonts w:asciiTheme="minorHAnsi" w:hAnsiTheme="minorHAnsi"/>
          <w:szCs w:val="24"/>
        </w:rPr>
        <w:t>Marom</w:t>
      </w:r>
      <w:proofErr w:type="spellEnd"/>
      <w:r w:rsidRPr="00141AE8">
        <w:rPr>
          <w:rFonts w:asciiTheme="minorHAnsi" w:hAnsiTheme="minorHAnsi"/>
          <w:szCs w:val="24"/>
        </w:rPr>
        <w:t xml:space="preserve">, A. (Eds.), Human Paleontology and Prehistory: Contributions in Honor of </w:t>
      </w:r>
      <w:proofErr w:type="spellStart"/>
      <w:r w:rsidRPr="00141AE8">
        <w:rPr>
          <w:rFonts w:asciiTheme="minorHAnsi" w:hAnsiTheme="minorHAnsi"/>
          <w:szCs w:val="24"/>
        </w:rPr>
        <w:t>Yoel</w:t>
      </w:r>
      <w:proofErr w:type="spellEnd"/>
      <w:r w:rsidRPr="00141AE8">
        <w:rPr>
          <w:rFonts w:asciiTheme="minorHAnsi" w:hAnsiTheme="minorHAnsi"/>
          <w:szCs w:val="24"/>
        </w:rPr>
        <w:t xml:space="preserve"> </w:t>
      </w:r>
      <w:proofErr w:type="spellStart"/>
      <w:r w:rsidRPr="00141AE8">
        <w:rPr>
          <w:rFonts w:asciiTheme="minorHAnsi" w:hAnsiTheme="minorHAnsi"/>
          <w:szCs w:val="24"/>
        </w:rPr>
        <w:t>Rak</w:t>
      </w:r>
      <w:proofErr w:type="spellEnd"/>
      <w:r w:rsidRPr="00141AE8">
        <w:rPr>
          <w:rFonts w:asciiTheme="minorHAnsi" w:hAnsiTheme="minorHAnsi"/>
          <w:szCs w:val="24"/>
        </w:rPr>
        <w:t>. New York: Springer.</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lang w:val="fr-FR"/>
        </w:rPr>
        <w:t xml:space="preserve">Rhodes, J.A., Knüsel, C.J., 2005. </w:t>
      </w:r>
      <w:r w:rsidRPr="00141AE8">
        <w:rPr>
          <w:rFonts w:asciiTheme="minorHAnsi" w:hAnsiTheme="minorHAnsi"/>
          <w:szCs w:val="24"/>
        </w:rPr>
        <w:t xml:space="preserve">Activity-related skeletal change in </w:t>
      </w:r>
      <w:proofErr w:type="gramStart"/>
      <w:r w:rsidRPr="00141AE8">
        <w:rPr>
          <w:rFonts w:asciiTheme="minorHAnsi" w:hAnsiTheme="minorHAnsi"/>
          <w:szCs w:val="24"/>
        </w:rPr>
        <w:t>Medieval</w:t>
      </w:r>
      <w:proofErr w:type="gramEnd"/>
      <w:r w:rsidRPr="00141AE8">
        <w:rPr>
          <w:rFonts w:asciiTheme="minorHAnsi" w:hAnsiTheme="minorHAnsi"/>
          <w:szCs w:val="24"/>
        </w:rPr>
        <w:t xml:space="preserve"> </w:t>
      </w:r>
      <w:proofErr w:type="spellStart"/>
      <w:r w:rsidRPr="00141AE8">
        <w:rPr>
          <w:rFonts w:asciiTheme="minorHAnsi" w:hAnsiTheme="minorHAnsi"/>
          <w:szCs w:val="24"/>
        </w:rPr>
        <w:t>humeri</w:t>
      </w:r>
      <w:proofErr w:type="spellEnd"/>
      <w:r w:rsidRPr="00141AE8">
        <w:rPr>
          <w:rFonts w:asciiTheme="minorHAnsi" w:hAnsiTheme="minorHAnsi"/>
          <w:szCs w:val="24"/>
        </w:rPr>
        <w:t xml:space="preserve">: cross-sectional and architectural alterations. Am. J. Phys. </w:t>
      </w:r>
      <w:proofErr w:type="spellStart"/>
      <w:r w:rsidRPr="00141AE8">
        <w:rPr>
          <w:rFonts w:asciiTheme="minorHAnsi" w:hAnsiTheme="minorHAnsi"/>
          <w:szCs w:val="24"/>
        </w:rPr>
        <w:t>Anthropol</w:t>
      </w:r>
      <w:proofErr w:type="spellEnd"/>
      <w:r w:rsidRPr="00141AE8">
        <w:rPr>
          <w:rFonts w:asciiTheme="minorHAnsi" w:hAnsiTheme="minorHAnsi"/>
          <w:szCs w:val="24"/>
        </w:rPr>
        <w:t>. 128, 536-546.</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t>Ruff, C.B. 1995.</w:t>
      </w:r>
      <w:proofErr w:type="gramEnd"/>
      <w:r w:rsidRPr="00141AE8">
        <w:rPr>
          <w:rFonts w:asciiTheme="minorHAnsi" w:hAnsiTheme="minorHAnsi"/>
          <w:szCs w:val="24"/>
        </w:rPr>
        <w:t xml:space="preserve"> </w:t>
      </w:r>
      <w:proofErr w:type="gramStart"/>
      <w:r w:rsidRPr="00141AE8">
        <w:rPr>
          <w:rFonts w:asciiTheme="minorHAnsi" w:hAnsiTheme="minorHAnsi"/>
          <w:szCs w:val="24"/>
        </w:rPr>
        <w:t>Biomechanics of the hip and birth in early Homo.</w:t>
      </w:r>
      <w:proofErr w:type="gramEnd"/>
      <w:r w:rsidRPr="00141AE8">
        <w:rPr>
          <w:rFonts w:asciiTheme="minorHAnsi" w:hAnsiTheme="minorHAnsi"/>
          <w:szCs w:val="24"/>
        </w:rPr>
        <w:t xml:space="preserve"> Am. J. Phys. </w:t>
      </w:r>
      <w:proofErr w:type="spellStart"/>
      <w:r w:rsidRPr="00141AE8">
        <w:rPr>
          <w:rFonts w:asciiTheme="minorHAnsi" w:hAnsiTheme="minorHAnsi"/>
          <w:szCs w:val="24"/>
        </w:rPr>
        <w:t>Anthropol</w:t>
      </w:r>
      <w:proofErr w:type="spellEnd"/>
      <w:r w:rsidRPr="00141AE8">
        <w:rPr>
          <w:rFonts w:asciiTheme="minorHAnsi" w:hAnsiTheme="minorHAnsi"/>
          <w:szCs w:val="24"/>
        </w:rPr>
        <w:t>. 98, 527–574</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t>Ruff, C.B., 2000.</w:t>
      </w:r>
      <w:proofErr w:type="gramEnd"/>
      <w:r w:rsidRPr="00141AE8">
        <w:rPr>
          <w:rFonts w:asciiTheme="minorHAnsi" w:hAnsiTheme="minorHAnsi"/>
          <w:szCs w:val="24"/>
        </w:rPr>
        <w:t xml:space="preserve"> </w:t>
      </w:r>
      <w:proofErr w:type="gramStart"/>
      <w:r w:rsidRPr="00141AE8">
        <w:rPr>
          <w:rFonts w:asciiTheme="minorHAnsi" w:hAnsiTheme="minorHAnsi"/>
          <w:szCs w:val="24"/>
        </w:rPr>
        <w:t xml:space="preserve">Biomechanical </w:t>
      </w:r>
      <w:proofErr w:type="spellStart"/>
      <w:r w:rsidRPr="00141AE8">
        <w:rPr>
          <w:rFonts w:asciiTheme="minorHAnsi" w:hAnsiTheme="minorHAnsi"/>
          <w:szCs w:val="24"/>
        </w:rPr>
        <w:t>analysesof</w:t>
      </w:r>
      <w:proofErr w:type="spellEnd"/>
      <w:r w:rsidRPr="00141AE8">
        <w:rPr>
          <w:rFonts w:asciiTheme="minorHAnsi" w:hAnsiTheme="minorHAnsi"/>
          <w:szCs w:val="24"/>
        </w:rPr>
        <w:t xml:space="preserve"> archaeological human skeletons.</w:t>
      </w:r>
      <w:proofErr w:type="gramEnd"/>
      <w:r w:rsidRPr="00141AE8">
        <w:rPr>
          <w:rFonts w:asciiTheme="minorHAnsi" w:hAnsiTheme="minorHAnsi"/>
          <w:szCs w:val="24"/>
        </w:rPr>
        <w:t xml:space="preserve"> In: Katzenberg M.A., Saunders, S.R. (Eds.), Biological Anthropology of the Human Skeleton. Wiley-</w:t>
      </w:r>
      <w:proofErr w:type="spellStart"/>
      <w:r w:rsidRPr="00141AE8">
        <w:rPr>
          <w:rFonts w:asciiTheme="minorHAnsi" w:hAnsiTheme="minorHAnsi"/>
          <w:szCs w:val="24"/>
        </w:rPr>
        <w:t>Liss</w:t>
      </w:r>
      <w:proofErr w:type="spellEnd"/>
      <w:r w:rsidRPr="00141AE8">
        <w:rPr>
          <w:rFonts w:asciiTheme="minorHAnsi" w:hAnsiTheme="minorHAnsi"/>
          <w:szCs w:val="24"/>
        </w:rPr>
        <w:t>, New York, pp. 71-102.</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t>Ruff, C.B. 2002.</w:t>
      </w:r>
      <w:proofErr w:type="gramEnd"/>
      <w:r w:rsidRPr="00141AE8">
        <w:rPr>
          <w:rFonts w:asciiTheme="minorHAnsi" w:hAnsiTheme="minorHAnsi"/>
          <w:szCs w:val="24"/>
        </w:rPr>
        <w:t xml:space="preserve"> </w:t>
      </w:r>
      <w:proofErr w:type="gramStart"/>
      <w:r w:rsidRPr="00141AE8">
        <w:rPr>
          <w:rFonts w:asciiTheme="minorHAnsi" w:hAnsiTheme="minorHAnsi"/>
          <w:szCs w:val="24"/>
        </w:rPr>
        <w:t xml:space="preserve">Long bone </w:t>
      </w:r>
      <w:proofErr w:type="spellStart"/>
      <w:r w:rsidRPr="00141AE8">
        <w:rPr>
          <w:rFonts w:asciiTheme="minorHAnsi" w:hAnsiTheme="minorHAnsi"/>
          <w:szCs w:val="24"/>
        </w:rPr>
        <w:t>articular</w:t>
      </w:r>
      <w:proofErr w:type="spellEnd"/>
      <w:r w:rsidRPr="00141AE8">
        <w:rPr>
          <w:rFonts w:asciiTheme="minorHAnsi" w:hAnsiTheme="minorHAnsi"/>
          <w:szCs w:val="24"/>
        </w:rPr>
        <w:t xml:space="preserve"> and </w:t>
      </w:r>
      <w:proofErr w:type="spellStart"/>
      <w:r w:rsidRPr="00141AE8">
        <w:rPr>
          <w:rFonts w:asciiTheme="minorHAnsi" w:hAnsiTheme="minorHAnsi"/>
          <w:szCs w:val="24"/>
        </w:rPr>
        <w:t>diaphyseal</w:t>
      </w:r>
      <w:proofErr w:type="spellEnd"/>
      <w:r w:rsidRPr="00141AE8">
        <w:rPr>
          <w:rFonts w:asciiTheme="minorHAnsi" w:hAnsiTheme="minorHAnsi"/>
          <w:szCs w:val="24"/>
        </w:rPr>
        <w:t xml:space="preserve"> structure in old world monkeys and apes.</w:t>
      </w:r>
      <w:proofErr w:type="gramEnd"/>
      <w:r w:rsidRPr="00141AE8">
        <w:rPr>
          <w:rFonts w:asciiTheme="minorHAnsi" w:hAnsiTheme="minorHAnsi"/>
          <w:szCs w:val="24"/>
        </w:rPr>
        <w:t xml:space="preserve"> I: </w:t>
      </w:r>
      <w:proofErr w:type="spellStart"/>
      <w:r w:rsidRPr="00141AE8">
        <w:rPr>
          <w:rFonts w:asciiTheme="minorHAnsi" w:hAnsiTheme="minorHAnsi"/>
          <w:szCs w:val="24"/>
        </w:rPr>
        <w:t>locomotor</w:t>
      </w:r>
      <w:proofErr w:type="spellEnd"/>
      <w:r w:rsidRPr="00141AE8">
        <w:rPr>
          <w:rFonts w:asciiTheme="minorHAnsi" w:hAnsiTheme="minorHAnsi"/>
          <w:szCs w:val="24"/>
        </w:rPr>
        <w:t xml:space="preserve"> effects. </w:t>
      </w:r>
      <w:proofErr w:type="gramStart"/>
      <w:r w:rsidRPr="00141AE8">
        <w:rPr>
          <w:rFonts w:asciiTheme="minorHAnsi" w:hAnsiTheme="minorHAnsi"/>
          <w:szCs w:val="24"/>
        </w:rPr>
        <w:t>Am</w:t>
      </w:r>
      <w:proofErr w:type="gramEnd"/>
      <w:r w:rsidRPr="00141AE8">
        <w:rPr>
          <w:rFonts w:asciiTheme="minorHAnsi" w:hAnsiTheme="minorHAnsi"/>
          <w:szCs w:val="24"/>
        </w:rPr>
        <w:t xml:space="preserve"> J Phys </w:t>
      </w:r>
      <w:proofErr w:type="spellStart"/>
      <w:r w:rsidRPr="00141AE8">
        <w:rPr>
          <w:rFonts w:asciiTheme="minorHAnsi" w:hAnsiTheme="minorHAnsi"/>
          <w:szCs w:val="24"/>
        </w:rPr>
        <w:t>Anthropol</w:t>
      </w:r>
      <w:proofErr w:type="spellEnd"/>
      <w:r w:rsidRPr="00141AE8">
        <w:rPr>
          <w:rFonts w:asciiTheme="minorHAnsi" w:hAnsiTheme="minorHAnsi"/>
          <w:szCs w:val="24"/>
        </w:rPr>
        <w:t xml:space="preserve"> 119, 305-342.</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lastRenderedPageBreak/>
        <w:t xml:space="preserve">Ruff, C.B., Holt, B.M., </w:t>
      </w:r>
      <w:proofErr w:type="spellStart"/>
      <w:r w:rsidRPr="00141AE8">
        <w:rPr>
          <w:rFonts w:asciiTheme="minorHAnsi" w:hAnsiTheme="minorHAnsi"/>
          <w:szCs w:val="24"/>
        </w:rPr>
        <w:t>Sládek</w:t>
      </w:r>
      <w:proofErr w:type="spellEnd"/>
      <w:r w:rsidRPr="00141AE8">
        <w:rPr>
          <w:rFonts w:asciiTheme="minorHAnsi" w:hAnsiTheme="minorHAnsi"/>
          <w:szCs w:val="24"/>
        </w:rPr>
        <w:t xml:space="preserve">, V., </w:t>
      </w:r>
      <w:proofErr w:type="spellStart"/>
      <w:r w:rsidRPr="00141AE8">
        <w:rPr>
          <w:rFonts w:asciiTheme="minorHAnsi" w:hAnsiTheme="minorHAnsi"/>
          <w:szCs w:val="24"/>
        </w:rPr>
        <w:t>Berner</w:t>
      </w:r>
      <w:proofErr w:type="spellEnd"/>
      <w:r w:rsidRPr="00141AE8">
        <w:rPr>
          <w:rFonts w:asciiTheme="minorHAnsi" w:hAnsiTheme="minorHAnsi"/>
          <w:szCs w:val="24"/>
        </w:rPr>
        <w:t xml:space="preserve">, M., Murphy, W., </w:t>
      </w:r>
      <w:proofErr w:type="spellStart"/>
      <w:r w:rsidRPr="00141AE8">
        <w:rPr>
          <w:rFonts w:asciiTheme="minorHAnsi" w:hAnsiTheme="minorHAnsi"/>
          <w:szCs w:val="24"/>
        </w:rPr>
        <w:t>zur</w:t>
      </w:r>
      <w:proofErr w:type="spellEnd"/>
      <w:r w:rsidRPr="00141AE8">
        <w:rPr>
          <w:rFonts w:asciiTheme="minorHAnsi" w:hAnsiTheme="minorHAnsi"/>
          <w:szCs w:val="24"/>
        </w:rPr>
        <w:t xml:space="preserve"> </w:t>
      </w:r>
      <w:proofErr w:type="spellStart"/>
      <w:r w:rsidRPr="00141AE8">
        <w:rPr>
          <w:rFonts w:asciiTheme="minorHAnsi" w:hAnsiTheme="minorHAnsi"/>
          <w:szCs w:val="24"/>
        </w:rPr>
        <w:t>Nedden</w:t>
      </w:r>
      <w:proofErr w:type="spellEnd"/>
      <w:r w:rsidRPr="00141AE8">
        <w:rPr>
          <w:rFonts w:asciiTheme="minorHAnsi" w:hAnsiTheme="minorHAnsi"/>
          <w:szCs w:val="24"/>
        </w:rPr>
        <w:t xml:space="preserve">, D., </w:t>
      </w:r>
      <w:proofErr w:type="spellStart"/>
      <w:r w:rsidRPr="00141AE8">
        <w:rPr>
          <w:rFonts w:asciiTheme="minorHAnsi" w:hAnsiTheme="minorHAnsi"/>
          <w:szCs w:val="24"/>
        </w:rPr>
        <w:t>Seidler</w:t>
      </w:r>
      <w:proofErr w:type="spellEnd"/>
      <w:r w:rsidRPr="00141AE8">
        <w:rPr>
          <w:rFonts w:asciiTheme="minorHAnsi" w:hAnsiTheme="minorHAnsi"/>
          <w:szCs w:val="24"/>
        </w:rPr>
        <w:t xml:space="preserve">, H., </w:t>
      </w:r>
      <w:proofErr w:type="spellStart"/>
      <w:r w:rsidRPr="00141AE8">
        <w:rPr>
          <w:rFonts w:asciiTheme="minorHAnsi" w:hAnsiTheme="minorHAnsi"/>
          <w:szCs w:val="24"/>
        </w:rPr>
        <w:t>Recheis</w:t>
      </w:r>
      <w:proofErr w:type="spellEnd"/>
      <w:r w:rsidRPr="00141AE8">
        <w:rPr>
          <w:rFonts w:asciiTheme="minorHAnsi" w:hAnsiTheme="minorHAnsi"/>
          <w:szCs w:val="24"/>
        </w:rPr>
        <w:t>, W. 2006a.</w:t>
      </w:r>
      <w:proofErr w:type="gramEnd"/>
      <w:r w:rsidRPr="00141AE8">
        <w:rPr>
          <w:rFonts w:asciiTheme="minorHAnsi" w:hAnsiTheme="minorHAnsi"/>
          <w:szCs w:val="24"/>
        </w:rPr>
        <w:t xml:space="preserve"> </w:t>
      </w:r>
      <w:proofErr w:type="gramStart"/>
      <w:r w:rsidRPr="00141AE8">
        <w:rPr>
          <w:rFonts w:asciiTheme="minorHAnsi" w:hAnsiTheme="minorHAnsi"/>
          <w:szCs w:val="24"/>
        </w:rPr>
        <w:t>Body size, body proportions, and mobility in the Tyrolean ‘Iceman’.</w:t>
      </w:r>
      <w:proofErr w:type="gramEnd"/>
      <w:r w:rsidRPr="00141AE8">
        <w:rPr>
          <w:rFonts w:asciiTheme="minorHAnsi" w:hAnsiTheme="minorHAnsi"/>
          <w:szCs w:val="24"/>
        </w:rPr>
        <w:t xml:space="preserve"> J. Hum. </w:t>
      </w:r>
      <w:proofErr w:type="spellStart"/>
      <w:proofErr w:type="gramStart"/>
      <w:r w:rsidRPr="00141AE8">
        <w:rPr>
          <w:rFonts w:asciiTheme="minorHAnsi" w:hAnsiTheme="minorHAnsi"/>
          <w:szCs w:val="24"/>
        </w:rPr>
        <w:t>Evol</w:t>
      </w:r>
      <w:proofErr w:type="spellEnd"/>
      <w:r w:rsidRPr="00141AE8">
        <w:rPr>
          <w:rFonts w:asciiTheme="minorHAnsi" w:hAnsiTheme="minorHAnsi"/>
          <w:szCs w:val="24"/>
        </w:rPr>
        <w:t>.</w:t>
      </w:r>
      <w:proofErr w:type="gramEnd"/>
      <w:r w:rsidRPr="00141AE8">
        <w:rPr>
          <w:rFonts w:asciiTheme="minorHAnsi" w:hAnsiTheme="minorHAnsi"/>
          <w:szCs w:val="24"/>
        </w:rPr>
        <w:t xml:space="preserve"> 51, 91–101.</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t>Ruff, C.B., Holt, B., Trinkaus, E., 2006b.</w:t>
      </w:r>
      <w:proofErr w:type="gramEnd"/>
      <w:r w:rsidRPr="00141AE8">
        <w:rPr>
          <w:rFonts w:asciiTheme="minorHAnsi" w:hAnsiTheme="minorHAnsi"/>
          <w:szCs w:val="24"/>
        </w:rPr>
        <w:t xml:space="preserve"> Who’s afraid of the big bad Wolff? “Wolff’s Law” and bone functional adaptation. Am. J. Phys. </w:t>
      </w:r>
      <w:proofErr w:type="spellStart"/>
      <w:r w:rsidRPr="00141AE8">
        <w:rPr>
          <w:rFonts w:asciiTheme="minorHAnsi" w:hAnsiTheme="minorHAnsi"/>
          <w:szCs w:val="24"/>
        </w:rPr>
        <w:t>Anthropol</w:t>
      </w:r>
      <w:proofErr w:type="spellEnd"/>
      <w:r w:rsidRPr="00141AE8">
        <w:rPr>
          <w:rFonts w:asciiTheme="minorHAnsi" w:hAnsiTheme="minorHAnsi"/>
          <w:szCs w:val="24"/>
        </w:rPr>
        <w:t>. 129, 484-498.</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t>Ruff, C.B., Trinkaus, E., Walker, A., Larsen, C.S. 1993.</w:t>
      </w:r>
      <w:proofErr w:type="gramEnd"/>
      <w:r w:rsidRPr="00141AE8">
        <w:rPr>
          <w:rFonts w:asciiTheme="minorHAnsi" w:hAnsiTheme="minorHAnsi"/>
          <w:szCs w:val="24"/>
        </w:rPr>
        <w:t xml:space="preserve"> </w:t>
      </w:r>
      <w:proofErr w:type="gramStart"/>
      <w:r w:rsidRPr="00141AE8">
        <w:rPr>
          <w:rFonts w:asciiTheme="minorHAnsi" w:hAnsiTheme="minorHAnsi"/>
          <w:szCs w:val="24"/>
        </w:rPr>
        <w:t xml:space="preserve">Postcranial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in Homo.</w:t>
      </w:r>
      <w:proofErr w:type="gramEnd"/>
      <w:r w:rsidRPr="00141AE8">
        <w:rPr>
          <w:rFonts w:asciiTheme="minorHAnsi" w:hAnsiTheme="minorHAnsi"/>
          <w:szCs w:val="24"/>
        </w:rPr>
        <w:t xml:space="preserve"> I. Temporal trends and mechanical interpretation. Am. J. Phys. </w:t>
      </w:r>
      <w:proofErr w:type="spellStart"/>
      <w:r w:rsidRPr="00141AE8">
        <w:rPr>
          <w:rFonts w:asciiTheme="minorHAnsi" w:hAnsiTheme="minorHAnsi"/>
          <w:szCs w:val="24"/>
        </w:rPr>
        <w:t>Anthropol</w:t>
      </w:r>
      <w:proofErr w:type="spellEnd"/>
      <w:r w:rsidRPr="00141AE8">
        <w:rPr>
          <w:rFonts w:asciiTheme="minorHAnsi" w:hAnsiTheme="minorHAnsi"/>
          <w:szCs w:val="24"/>
        </w:rPr>
        <w:t>. 91, 21–54.</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Shaw, C.N., Stock, J.T., 2009a. Habitual throwing and swimming correspond with upper limb </w:t>
      </w:r>
      <w:proofErr w:type="spellStart"/>
      <w:r w:rsidRPr="00141AE8">
        <w:rPr>
          <w:rFonts w:asciiTheme="minorHAnsi" w:hAnsiTheme="minorHAnsi"/>
          <w:szCs w:val="24"/>
        </w:rPr>
        <w:t>diaphyseal</w:t>
      </w:r>
      <w:proofErr w:type="spellEnd"/>
      <w:r w:rsidRPr="00141AE8">
        <w:rPr>
          <w:rFonts w:asciiTheme="minorHAnsi" w:hAnsiTheme="minorHAnsi"/>
          <w:szCs w:val="24"/>
        </w:rPr>
        <w:t xml:space="preserve"> strength and shape in modern athletes. Am. J. Phys. </w:t>
      </w:r>
      <w:proofErr w:type="spellStart"/>
      <w:r w:rsidRPr="00141AE8">
        <w:rPr>
          <w:rFonts w:asciiTheme="minorHAnsi" w:hAnsiTheme="minorHAnsi"/>
          <w:szCs w:val="24"/>
        </w:rPr>
        <w:t>Anthropol</w:t>
      </w:r>
      <w:proofErr w:type="spellEnd"/>
      <w:r w:rsidRPr="00141AE8">
        <w:rPr>
          <w:rFonts w:asciiTheme="minorHAnsi" w:hAnsiTheme="minorHAnsi"/>
          <w:szCs w:val="24"/>
        </w:rPr>
        <w:t>. 140, 160-172.</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Shaw, C., Stock J. 2009b. Intensity, repetitiveness, and directionality of habitual adolescent mobility patterns influence the </w:t>
      </w:r>
      <w:proofErr w:type="spellStart"/>
      <w:r w:rsidRPr="00141AE8">
        <w:rPr>
          <w:rFonts w:asciiTheme="minorHAnsi" w:hAnsiTheme="minorHAnsi"/>
          <w:szCs w:val="24"/>
        </w:rPr>
        <w:t>tibial</w:t>
      </w:r>
      <w:proofErr w:type="spellEnd"/>
      <w:r w:rsidRPr="00141AE8">
        <w:rPr>
          <w:rFonts w:asciiTheme="minorHAnsi" w:hAnsiTheme="minorHAnsi"/>
          <w:szCs w:val="24"/>
        </w:rPr>
        <w:t xml:space="preserve"> </w:t>
      </w:r>
      <w:proofErr w:type="spellStart"/>
      <w:r w:rsidRPr="00141AE8">
        <w:rPr>
          <w:rFonts w:asciiTheme="minorHAnsi" w:hAnsiTheme="minorHAnsi"/>
          <w:szCs w:val="24"/>
        </w:rPr>
        <w:t>diaphysis</w:t>
      </w:r>
      <w:proofErr w:type="spellEnd"/>
      <w:r w:rsidRPr="00141AE8">
        <w:rPr>
          <w:rFonts w:asciiTheme="minorHAnsi" w:hAnsiTheme="minorHAnsi"/>
          <w:szCs w:val="24"/>
        </w:rPr>
        <w:t xml:space="preserve"> morphology of athletes. Am. J. Phys. </w:t>
      </w:r>
      <w:proofErr w:type="spellStart"/>
      <w:r w:rsidRPr="00141AE8">
        <w:rPr>
          <w:rFonts w:asciiTheme="minorHAnsi" w:hAnsiTheme="minorHAnsi"/>
          <w:szCs w:val="24"/>
        </w:rPr>
        <w:t>Anthropol</w:t>
      </w:r>
      <w:proofErr w:type="spellEnd"/>
      <w:r w:rsidRPr="00141AE8">
        <w:rPr>
          <w:rFonts w:asciiTheme="minorHAnsi" w:hAnsiTheme="minorHAnsi"/>
          <w:szCs w:val="24"/>
        </w:rPr>
        <w:t>. 140, 149–159.</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t>Shaw, C.N. and Stock, J.T. 2013.</w:t>
      </w:r>
      <w:proofErr w:type="gramEnd"/>
      <w:r w:rsidRPr="00141AE8">
        <w:rPr>
          <w:rFonts w:asciiTheme="minorHAnsi" w:hAnsiTheme="minorHAnsi"/>
          <w:szCs w:val="24"/>
        </w:rPr>
        <w:t xml:space="preserve"> </w:t>
      </w:r>
      <w:proofErr w:type="gramStart"/>
      <w:r w:rsidRPr="00141AE8">
        <w:rPr>
          <w:rFonts w:asciiTheme="minorHAnsi" w:hAnsiTheme="minorHAnsi"/>
          <w:szCs w:val="24"/>
        </w:rPr>
        <w:t>Extreme mobility in Late Pleistocene?</w:t>
      </w:r>
      <w:proofErr w:type="gramEnd"/>
      <w:r w:rsidRPr="00141AE8">
        <w:rPr>
          <w:rFonts w:asciiTheme="minorHAnsi" w:hAnsiTheme="minorHAnsi"/>
          <w:szCs w:val="24"/>
        </w:rPr>
        <w:t xml:space="preserve"> </w:t>
      </w:r>
      <w:proofErr w:type="gramStart"/>
      <w:r w:rsidRPr="00141AE8">
        <w:rPr>
          <w:rFonts w:asciiTheme="minorHAnsi" w:hAnsiTheme="minorHAnsi"/>
          <w:szCs w:val="24"/>
        </w:rPr>
        <w:t>Comparing limb biomechanics among fossil Homo, varsity athletes and Holocene foragers.</w:t>
      </w:r>
      <w:proofErr w:type="gramEnd"/>
      <w:r w:rsidRPr="00141AE8">
        <w:rPr>
          <w:rFonts w:asciiTheme="minorHAnsi" w:hAnsiTheme="minorHAnsi"/>
          <w:szCs w:val="24"/>
        </w:rPr>
        <w:t xml:space="preserve"> J. Hum. </w:t>
      </w:r>
      <w:proofErr w:type="spellStart"/>
      <w:proofErr w:type="gramStart"/>
      <w:r w:rsidRPr="00141AE8">
        <w:rPr>
          <w:rFonts w:asciiTheme="minorHAnsi" w:hAnsiTheme="minorHAnsi"/>
          <w:szCs w:val="24"/>
        </w:rPr>
        <w:t>Evol</w:t>
      </w:r>
      <w:proofErr w:type="spellEnd"/>
      <w:r w:rsidRPr="00141AE8">
        <w:rPr>
          <w:rFonts w:asciiTheme="minorHAnsi" w:hAnsiTheme="minorHAnsi"/>
          <w:szCs w:val="24"/>
        </w:rPr>
        <w:t>.</w:t>
      </w:r>
      <w:proofErr w:type="gramEnd"/>
      <w:r w:rsidRPr="00141AE8">
        <w:rPr>
          <w:rFonts w:asciiTheme="minorHAnsi" w:hAnsiTheme="minorHAnsi"/>
          <w:szCs w:val="24"/>
        </w:rPr>
        <w:t xml:space="preserve"> 64, 242-249.</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Sparacello, V.S., </w:t>
      </w:r>
      <w:proofErr w:type="spellStart"/>
      <w:r w:rsidRPr="00141AE8">
        <w:rPr>
          <w:rFonts w:asciiTheme="minorHAnsi" w:hAnsiTheme="minorHAnsi"/>
          <w:szCs w:val="24"/>
        </w:rPr>
        <w:t>d’Ercole</w:t>
      </w:r>
      <w:proofErr w:type="spellEnd"/>
      <w:r w:rsidRPr="00141AE8">
        <w:rPr>
          <w:rFonts w:asciiTheme="minorHAnsi" w:hAnsiTheme="minorHAnsi"/>
          <w:szCs w:val="24"/>
        </w:rPr>
        <w:t xml:space="preserve">, V., </w:t>
      </w:r>
      <w:proofErr w:type="spellStart"/>
      <w:r w:rsidRPr="00141AE8">
        <w:rPr>
          <w:rFonts w:asciiTheme="minorHAnsi" w:hAnsiTheme="minorHAnsi"/>
          <w:szCs w:val="24"/>
        </w:rPr>
        <w:t>Coppa</w:t>
      </w:r>
      <w:proofErr w:type="spellEnd"/>
      <w:r w:rsidRPr="00141AE8">
        <w:rPr>
          <w:rFonts w:asciiTheme="minorHAnsi" w:hAnsiTheme="minorHAnsi"/>
          <w:szCs w:val="24"/>
        </w:rPr>
        <w:t xml:space="preserve">, A. 2015. </w:t>
      </w:r>
      <w:proofErr w:type="gramStart"/>
      <w:r w:rsidRPr="00141AE8">
        <w:rPr>
          <w:rFonts w:asciiTheme="minorHAnsi" w:hAnsiTheme="minorHAnsi"/>
          <w:szCs w:val="24"/>
        </w:rPr>
        <w:t xml:space="preserve">A </w:t>
      </w:r>
      <w:proofErr w:type="spellStart"/>
      <w:r w:rsidRPr="00141AE8">
        <w:rPr>
          <w:rFonts w:asciiTheme="minorHAnsi" w:hAnsiTheme="minorHAnsi"/>
          <w:szCs w:val="24"/>
        </w:rPr>
        <w:t>bioarchaeological</w:t>
      </w:r>
      <w:proofErr w:type="spellEnd"/>
      <w:r w:rsidRPr="00141AE8">
        <w:rPr>
          <w:rFonts w:asciiTheme="minorHAnsi" w:hAnsiTheme="minorHAnsi"/>
          <w:szCs w:val="24"/>
        </w:rPr>
        <w:t xml:space="preserve"> approach to the reconstruction of changes in military organization among Iron Age </w:t>
      </w:r>
      <w:proofErr w:type="spellStart"/>
      <w:r w:rsidRPr="00141AE8">
        <w:rPr>
          <w:rFonts w:asciiTheme="minorHAnsi" w:hAnsiTheme="minorHAnsi"/>
          <w:szCs w:val="24"/>
        </w:rPr>
        <w:t>Samnites</w:t>
      </w:r>
      <w:proofErr w:type="spellEnd"/>
      <w:r w:rsidRPr="00141AE8">
        <w:rPr>
          <w:rFonts w:asciiTheme="minorHAnsi" w:hAnsiTheme="minorHAnsi"/>
          <w:szCs w:val="24"/>
        </w:rPr>
        <w:t xml:space="preserve"> (</w:t>
      </w:r>
      <w:proofErr w:type="spellStart"/>
      <w:r w:rsidRPr="00141AE8">
        <w:rPr>
          <w:rFonts w:asciiTheme="minorHAnsi" w:hAnsiTheme="minorHAnsi"/>
          <w:szCs w:val="24"/>
        </w:rPr>
        <w:t>Vestini</w:t>
      </w:r>
      <w:proofErr w:type="spellEnd"/>
      <w:r w:rsidRPr="00141AE8">
        <w:rPr>
          <w:rFonts w:asciiTheme="minorHAnsi" w:hAnsiTheme="minorHAnsi"/>
          <w:szCs w:val="24"/>
        </w:rPr>
        <w:t xml:space="preserve">) from </w:t>
      </w:r>
      <w:proofErr w:type="spellStart"/>
      <w:r w:rsidRPr="00141AE8">
        <w:rPr>
          <w:rFonts w:asciiTheme="minorHAnsi" w:hAnsiTheme="minorHAnsi"/>
          <w:szCs w:val="24"/>
        </w:rPr>
        <w:t>Abruzzo</w:t>
      </w:r>
      <w:proofErr w:type="spellEnd"/>
      <w:r w:rsidRPr="00141AE8">
        <w:rPr>
          <w:rFonts w:asciiTheme="minorHAnsi" w:hAnsiTheme="minorHAnsi"/>
          <w:szCs w:val="24"/>
        </w:rPr>
        <w:t>, central Italy.</w:t>
      </w:r>
      <w:proofErr w:type="gramEnd"/>
      <w:r w:rsidRPr="00141AE8">
        <w:rPr>
          <w:rFonts w:asciiTheme="minorHAnsi" w:hAnsiTheme="minorHAnsi"/>
          <w:szCs w:val="24"/>
        </w:rPr>
        <w:t xml:space="preserve"> Am. J. Phys. </w:t>
      </w:r>
      <w:proofErr w:type="spellStart"/>
      <w:r w:rsidRPr="00141AE8">
        <w:rPr>
          <w:rFonts w:asciiTheme="minorHAnsi" w:hAnsiTheme="minorHAnsi"/>
          <w:szCs w:val="24"/>
        </w:rPr>
        <w:t>Anthropol</w:t>
      </w:r>
      <w:proofErr w:type="spellEnd"/>
      <w:r w:rsidRPr="00141AE8">
        <w:rPr>
          <w:rFonts w:asciiTheme="minorHAnsi" w:hAnsiTheme="minorHAnsi"/>
          <w:szCs w:val="24"/>
        </w:rPr>
        <w:t>. 156:305-316.</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t xml:space="preserve">Sparacello, V.S., </w:t>
      </w:r>
      <w:proofErr w:type="spellStart"/>
      <w:r w:rsidRPr="00141AE8">
        <w:rPr>
          <w:rFonts w:asciiTheme="minorHAnsi" w:hAnsiTheme="minorHAnsi"/>
          <w:szCs w:val="24"/>
        </w:rPr>
        <w:t>Marchi</w:t>
      </w:r>
      <w:proofErr w:type="spellEnd"/>
      <w:r w:rsidRPr="00141AE8">
        <w:rPr>
          <w:rFonts w:asciiTheme="minorHAnsi" w:hAnsiTheme="minorHAnsi"/>
          <w:szCs w:val="24"/>
        </w:rPr>
        <w:t>, D. and Shaw, C.S. 2014.</w:t>
      </w:r>
      <w:proofErr w:type="gramEnd"/>
      <w:r w:rsidRPr="00141AE8">
        <w:rPr>
          <w:rFonts w:asciiTheme="minorHAnsi" w:hAnsiTheme="minorHAnsi"/>
          <w:szCs w:val="24"/>
        </w:rPr>
        <w:t xml:space="preserve"> The importance of considering fibular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when inferring the mobility patterns of past populations, in: Carlson, K. and </w:t>
      </w:r>
      <w:proofErr w:type="spellStart"/>
      <w:r w:rsidRPr="00141AE8">
        <w:rPr>
          <w:rFonts w:asciiTheme="minorHAnsi" w:hAnsiTheme="minorHAnsi"/>
          <w:szCs w:val="24"/>
        </w:rPr>
        <w:t>Marchi</w:t>
      </w:r>
      <w:proofErr w:type="spellEnd"/>
      <w:r w:rsidRPr="00141AE8">
        <w:rPr>
          <w:rFonts w:asciiTheme="minorHAnsi" w:hAnsiTheme="minorHAnsi"/>
          <w:szCs w:val="24"/>
        </w:rPr>
        <w:t>, D. (Eds.), Reconstructing mobility: environmental, behavioral, and morphological determinants. New York: Springer, 91-111.</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Sparacello, V.S., Pearson, O.M., </w:t>
      </w:r>
      <w:proofErr w:type="spellStart"/>
      <w:r w:rsidRPr="00141AE8">
        <w:rPr>
          <w:rFonts w:asciiTheme="minorHAnsi" w:hAnsiTheme="minorHAnsi"/>
          <w:szCs w:val="24"/>
        </w:rPr>
        <w:t>Coppa</w:t>
      </w:r>
      <w:proofErr w:type="spellEnd"/>
      <w:r w:rsidRPr="00141AE8">
        <w:rPr>
          <w:rFonts w:asciiTheme="minorHAnsi" w:hAnsiTheme="minorHAnsi"/>
          <w:szCs w:val="24"/>
        </w:rPr>
        <w:t xml:space="preserve">, A., </w:t>
      </w:r>
      <w:proofErr w:type="spellStart"/>
      <w:r w:rsidRPr="00141AE8">
        <w:rPr>
          <w:rFonts w:asciiTheme="minorHAnsi" w:hAnsiTheme="minorHAnsi"/>
          <w:szCs w:val="24"/>
        </w:rPr>
        <w:t>Marchi</w:t>
      </w:r>
      <w:proofErr w:type="spellEnd"/>
      <w:r w:rsidRPr="00141AE8">
        <w:rPr>
          <w:rFonts w:asciiTheme="minorHAnsi" w:hAnsiTheme="minorHAnsi"/>
          <w:szCs w:val="24"/>
        </w:rPr>
        <w:t xml:space="preserve">, D., 2011. Changes in skeletal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in an Iron Age </w:t>
      </w:r>
      <w:proofErr w:type="spellStart"/>
      <w:r w:rsidRPr="00141AE8">
        <w:rPr>
          <w:rFonts w:asciiTheme="minorHAnsi" w:hAnsiTheme="minorHAnsi"/>
          <w:szCs w:val="24"/>
        </w:rPr>
        <w:t>agropastoral</w:t>
      </w:r>
      <w:proofErr w:type="spellEnd"/>
      <w:r w:rsidRPr="00141AE8">
        <w:rPr>
          <w:rFonts w:asciiTheme="minorHAnsi" w:hAnsiTheme="minorHAnsi"/>
          <w:szCs w:val="24"/>
        </w:rPr>
        <w:t xml:space="preserve"> group: The </w:t>
      </w:r>
      <w:proofErr w:type="spellStart"/>
      <w:r w:rsidRPr="00141AE8">
        <w:rPr>
          <w:rFonts w:asciiTheme="minorHAnsi" w:hAnsiTheme="minorHAnsi"/>
          <w:szCs w:val="24"/>
        </w:rPr>
        <w:t>Samnites</w:t>
      </w:r>
      <w:proofErr w:type="spellEnd"/>
      <w:r w:rsidRPr="00141AE8">
        <w:rPr>
          <w:rFonts w:asciiTheme="minorHAnsi" w:hAnsiTheme="minorHAnsi"/>
          <w:szCs w:val="24"/>
        </w:rPr>
        <w:t xml:space="preserve"> from the </w:t>
      </w:r>
      <w:proofErr w:type="spellStart"/>
      <w:r w:rsidRPr="00141AE8">
        <w:rPr>
          <w:rFonts w:asciiTheme="minorHAnsi" w:hAnsiTheme="minorHAnsi"/>
          <w:szCs w:val="24"/>
        </w:rPr>
        <w:t>Alfedena</w:t>
      </w:r>
      <w:proofErr w:type="spellEnd"/>
      <w:r w:rsidRPr="00141AE8">
        <w:rPr>
          <w:rFonts w:asciiTheme="minorHAnsi" w:hAnsiTheme="minorHAnsi"/>
          <w:szCs w:val="24"/>
        </w:rPr>
        <w:t xml:space="preserve"> necropolis (</w:t>
      </w:r>
      <w:proofErr w:type="spellStart"/>
      <w:r w:rsidRPr="00141AE8">
        <w:rPr>
          <w:rFonts w:asciiTheme="minorHAnsi" w:hAnsiTheme="minorHAnsi"/>
          <w:szCs w:val="24"/>
        </w:rPr>
        <w:t>Abruzzo</w:t>
      </w:r>
      <w:proofErr w:type="spellEnd"/>
      <w:r w:rsidRPr="00141AE8">
        <w:rPr>
          <w:rFonts w:asciiTheme="minorHAnsi" w:hAnsiTheme="minorHAnsi"/>
          <w:szCs w:val="24"/>
        </w:rPr>
        <w:t xml:space="preserve">, central Italy). Am. J. Phys. </w:t>
      </w:r>
      <w:proofErr w:type="spellStart"/>
      <w:r w:rsidRPr="00141AE8">
        <w:rPr>
          <w:rFonts w:asciiTheme="minorHAnsi" w:hAnsiTheme="minorHAnsi"/>
          <w:szCs w:val="24"/>
        </w:rPr>
        <w:t>Anthropol</w:t>
      </w:r>
      <w:proofErr w:type="spellEnd"/>
      <w:r w:rsidRPr="00141AE8">
        <w:rPr>
          <w:rFonts w:asciiTheme="minorHAnsi" w:hAnsiTheme="minorHAnsi"/>
          <w:szCs w:val="24"/>
        </w:rPr>
        <w:t>. 144, 119-130.</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Sparacello, V.S., Pearson, O.M. 2010. The importance of accounting for the area of the </w:t>
      </w:r>
      <w:proofErr w:type="spellStart"/>
      <w:r w:rsidRPr="00141AE8">
        <w:rPr>
          <w:rFonts w:asciiTheme="minorHAnsi" w:hAnsiTheme="minorHAnsi"/>
          <w:szCs w:val="24"/>
        </w:rPr>
        <w:t>medullary</w:t>
      </w:r>
      <w:proofErr w:type="spellEnd"/>
      <w:r w:rsidRPr="00141AE8">
        <w:rPr>
          <w:rFonts w:asciiTheme="minorHAnsi" w:hAnsiTheme="minorHAnsi"/>
          <w:szCs w:val="24"/>
        </w:rPr>
        <w:t xml:space="preserve"> cavity </w:t>
      </w:r>
      <w:proofErr w:type="spellStart"/>
      <w:r w:rsidRPr="00141AE8">
        <w:rPr>
          <w:rFonts w:asciiTheme="minorHAnsi" w:hAnsiTheme="minorHAnsi"/>
          <w:szCs w:val="24"/>
        </w:rPr>
        <w:t>incross</w:t>
      </w:r>
      <w:proofErr w:type="spellEnd"/>
      <w:r w:rsidRPr="00141AE8">
        <w:rPr>
          <w:rFonts w:asciiTheme="minorHAnsi" w:hAnsiTheme="minorHAnsi"/>
          <w:szCs w:val="24"/>
        </w:rPr>
        <w:t xml:space="preserve">-sectional geometry: A test based on the femoral </w:t>
      </w:r>
      <w:proofErr w:type="spellStart"/>
      <w:r w:rsidRPr="00141AE8">
        <w:rPr>
          <w:rFonts w:asciiTheme="minorHAnsi" w:hAnsiTheme="minorHAnsi"/>
          <w:szCs w:val="24"/>
        </w:rPr>
        <w:t>midshaft</w:t>
      </w:r>
      <w:proofErr w:type="spellEnd"/>
      <w:r w:rsidRPr="00141AE8">
        <w:rPr>
          <w:rFonts w:asciiTheme="minorHAnsi" w:hAnsiTheme="minorHAnsi"/>
          <w:szCs w:val="24"/>
        </w:rPr>
        <w:t xml:space="preserve">. Am. J. Phys. </w:t>
      </w:r>
      <w:proofErr w:type="spellStart"/>
      <w:r w:rsidRPr="00141AE8">
        <w:rPr>
          <w:rFonts w:asciiTheme="minorHAnsi" w:hAnsiTheme="minorHAnsi"/>
          <w:szCs w:val="24"/>
        </w:rPr>
        <w:t>Anthropol</w:t>
      </w:r>
      <w:proofErr w:type="spellEnd"/>
      <w:r w:rsidRPr="00141AE8">
        <w:rPr>
          <w:rFonts w:asciiTheme="minorHAnsi" w:hAnsiTheme="minorHAnsi"/>
          <w:szCs w:val="24"/>
        </w:rPr>
        <w:t>. 143, 612-624.</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Sparacello, V.S., Villotte, S., Shaw, C.N., Fontana, F., </w:t>
      </w:r>
      <w:proofErr w:type="spellStart"/>
      <w:r w:rsidRPr="00141AE8">
        <w:rPr>
          <w:rFonts w:asciiTheme="minorHAnsi" w:hAnsiTheme="minorHAnsi"/>
          <w:szCs w:val="24"/>
        </w:rPr>
        <w:t>Mottes</w:t>
      </w:r>
      <w:proofErr w:type="spellEnd"/>
      <w:r w:rsidRPr="00141AE8">
        <w:rPr>
          <w:rFonts w:asciiTheme="minorHAnsi" w:hAnsiTheme="minorHAnsi"/>
          <w:szCs w:val="24"/>
        </w:rPr>
        <w:t xml:space="preserve">, E., </w:t>
      </w:r>
      <w:proofErr w:type="spellStart"/>
      <w:r w:rsidRPr="00141AE8">
        <w:rPr>
          <w:rFonts w:asciiTheme="minorHAnsi" w:hAnsiTheme="minorHAnsi"/>
          <w:szCs w:val="24"/>
        </w:rPr>
        <w:t>Starnini</w:t>
      </w:r>
      <w:proofErr w:type="spellEnd"/>
      <w:r w:rsidRPr="00141AE8">
        <w:rPr>
          <w:rFonts w:asciiTheme="minorHAnsi" w:hAnsiTheme="minorHAnsi"/>
          <w:szCs w:val="24"/>
        </w:rPr>
        <w:t xml:space="preserve">, E., </w:t>
      </w:r>
      <w:proofErr w:type="spellStart"/>
      <w:r w:rsidRPr="00141AE8">
        <w:rPr>
          <w:rFonts w:asciiTheme="minorHAnsi" w:hAnsiTheme="minorHAnsi"/>
          <w:szCs w:val="24"/>
        </w:rPr>
        <w:t>Marchi</w:t>
      </w:r>
      <w:proofErr w:type="spellEnd"/>
      <w:r w:rsidRPr="00141AE8">
        <w:rPr>
          <w:rFonts w:asciiTheme="minorHAnsi" w:hAnsiTheme="minorHAnsi"/>
          <w:szCs w:val="24"/>
        </w:rPr>
        <w:t>, D. (</w:t>
      </w:r>
      <w:proofErr w:type="spellStart"/>
      <w:r w:rsidR="003E4E72" w:rsidRPr="00141AE8">
        <w:rPr>
          <w:rFonts w:asciiTheme="minorHAnsi" w:hAnsiTheme="minorHAnsi"/>
          <w:szCs w:val="24"/>
        </w:rPr>
        <w:t>n.d</w:t>
      </w:r>
      <w:proofErr w:type="spellEnd"/>
      <w:r w:rsidR="003E4E72" w:rsidRPr="00141AE8">
        <w:rPr>
          <w:rFonts w:asciiTheme="minorHAnsi" w:hAnsiTheme="minorHAnsi"/>
          <w:szCs w:val="24"/>
        </w:rPr>
        <w:t>.</w:t>
      </w:r>
      <w:r w:rsidRPr="00141AE8">
        <w:rPr>
          <w:rFonts w:asciiTheme="minorHAnsi" w:hAnsiTheme="minorHAnsi"/>
          <w:szCs w:val="24"/>
        </w:rPr>
        <w:t xml:space="preserve">). Changing mobility patterns at the Pleistocene-Holocene transition: the biomechanics of the lower limb of Italian Gravettian and Mesolithic individuals. In: </w:t>
      </w:r>
      <w:proofErr w:type="spellStart"/>
      <w:r w:rsidRPr="00141AE8">
        <w:rPr>
          <w:rFonts w:asciiTheme="minorHAnsi" w:hAnsiTheme="minorHAnsi"/>
          <w:szCs w:val="24"/>
        </w:rPr>
        <w:t>Cristiani</w:t>
      </w:r>
      <w:proofErr w:type="spellEnd"/>
      <w:r w:rsidRPr="00141AE8">
        <w:rPr>
          <w:rFonts w:asciiTheme="minorHAnsi" w:hAnsiTheme="minorHAnsi"/>
          <w:szCs w:val="24"/>
        </w:rPr>
        <w:t xml:space="preserve"> E, Borgia V (Eds.). </w:t>
      </w:r>
      <w:proofErr w:type="spellStart"/>
      <w:proofErr w:type="gramStart"/>
      <w:r w:rsidRPr="00141AE8">
        <w:rPr>
          <w:rFonts w:asciiTheme="minorHAnsi" w:hAnsiTheme="minorHAnsi"/>
          <w:szCs w:val="24"/>
        </w:rPr>
        <w:t>Palaeolithic</w:t>
      </w:r>
      <w:proofErr w:type="spellEnd"/>
      <w:r w:rsidRPr="00141AE8">
        <w:rPr>
          <w:rFonts w:asciiTheme="minorHAnsi" w:hAnsiTheme="minorHAnsi"/>
          <w:szCs w:val="24"/>
        </w:rPr>
        <w:t xml:space="preserve"> Italy.</w:t>
      </w:r>
      <w:proofErr w:type="gramEnd"/>
      <w:r w:rsidRPr="00141AE8">
        <w:rPr>
          <w:rFonts w:asciiTheme="minorHAnsi" w:hAnsiTheme="minorHAnsi"/>
          <w:szCs w:val="24"/>
        </w:rPr>
        <w:t xml:space="preserve"> Cambridge: </w:t>
      </w:r>
      <w:proofErr w:type="spellStart"/>
      <w:r w:rsidRPr="00141AE8">
        <w:rPr>
          <w:rFonts w:asciiTheme="minorHAnsi" w:hAnsiTheme="minorHAnsi"/>
          <w:szCs w:val="24"/>
        </w:rPr>
        <w:t>Sidestone</w:t>
      </w:r>
      <w:proofErr w:type="spellEnd"/>
      <w:r w:rsidRPr="00141AE8">
        <w:rPr>
          <w:rFonts w:asciiTheme="minorHAnsi" w:hAnsiTheme="minorHAnsi"/>
          <w:szCs w:val="24"/>
        </w:rPr>
        <w:t xml:space="preserve"> Press.</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lastRenderedPageBreak/>
        <w:t>Sparacello, V.S., Villotte, S., Shaw, C.N., Shackelford, L.L., Trinkaus,</w:t>
      </w:r>
      <w:r w:rsidR="003E4E72" w:rsidRPr="00141AE8">
        <w:rPr>
          <w:rFonts w:asciiTheme="minorHAnsi" w:hAnsiTheme="minorHAnsi"/>
          <w:szCs w:val="24"/>
        </w:rPr>
        <w:t xml:space="preserve"> </w:t>
      </w:r>
      <w:proofErr w:type="gramStart"/>
      <w:r w:rsidR="003E4E72" w:rsidRPr="00141AE8">
        <w:rPr>
          <w:rFonts w:asciiTheme="minorHAnsi" w:hAnsiTheme="minorHAnsi"/>
          <w:szCs w:val="24"/>
        </w:rPr>
        <w:t>E..</w:t>
      </w:r>
      <w:proofErr w:type="gramEnd"/>
      <w:r w:rsidR="003E4E72" w:rsidRPr="00141AE8">
        <w:rPr>
          <w:rFonts w:asciiTheme="minorHAnsi" w:hAnsiTheme="minorHAnsi"/>
          <w:szCs w:val="24"/>
        </w:rPr>
        <w:t xml:space="preserve"> </w:t>
      </w:r>
      <w:proofErr w:type="gramStart"/>
      <w:r w:rsidR="003E4E72" w:rsidRPr="00141AE8">
        <w:rPr>
          <w:rFonts w:asciiTheme="minorHAnsi" w:hAnsiTheme="minorHAnsi"/>
          <w:szCs w:val="24"/>
        </w:rPr>
        <w:t>(In Press</w:t>
      </w:r>
      <w:r w:rsidRPr="00141AE8">
        <w:rPr>
          <w:rFonts w:asciiTheme="minorHAnsi" w:hAnsiTheme="minorHAnsi"/>
          <w:szCs w:val="24"/>
        </w:rPr>
        <w:t>).</w:t>
      </w:r>
      <w:proofErr w:type="gramEnd"/>
      <w:r w:rsidRPr="00141AE8">
        <w:rPr>
          <w:rFonts w:asciiTheme="minorHAnsi" w:hAnsiTheme="minorHAnsi"/>
          <w:szCs w:val="24"/>
        </w:rPr>
        <w:t xml:space="preserve"> </w:t>
      </w:r>
      <w:proofErr w:type="gramStart"/>
      <w:r w:rsidRPr="00141AE8">
        <w:rPr>
          <w:rFonts w:asciiTheme="minorHAnsi" w:hAnsiTheme="minorHAnsi"/>
          <w:szCs w:val="24"/>
        </w:rPr>
        <w:t>Patterns of Humeral Asymmetry among Late Pleistocene Humans.</w:t>
      </w:r>
      <w:proofErr w:type="gramEnd"/>
      <w:r w:rsidRPr="00141AE8">
        <w:rPr>
          <w:rFonts w:asciiTheme="minorHAnsi" w:hAnsiTheme="minorHAnsi"/>
          <w:szCs w:val="24"/>
        </w:rPr>
        <w:t xml:space="preserve"> </w:t>
      </w:r>
      <w:proofErr w:type="spellStart"/>
      <w:r w:rsidRPr="00141AE8">
        <w:rPr>
          <w:rFonts w:asciiTheme="minorHAnsi" w:hAnsiTheme="minorHAnsi"/>
          <w:szCs w:val="24"/>
        </w:rPr>
        <w:t>Comptes</w:t>
      </w:r>
      <w:proofErr w:type="spellEnd"/>
      <w:r w:rsidRPr="00141AE8">
        <w:rPr>
          <w:rFonts w:asciiTheme="minorHAnsi" w:hAnsiTheme="minorHAnsi"/>
          <w:szCs w:val="24"/>
        </w:rPr>
        <w:t xml:space="preserve"> </w:t>
      </w:r>
      <w:proofErr w:type="spellStart"/>
      <w:r w:rsidRPr="00141AE8">
        <w:rPr>
          <w:rFonts w:asciiTheme="minorHAnsi" w:hAnsiTheme="minorHAnsi"/>
          <w:szCs w:val="24"/>
        </w:rPr>
        <w:t>Rendus</w:t>
      </w:r>
      <w:proofErr w:type="spellEnd"/>
      <w:r w:rsidRPr="00141AE8">
        <w:rPr>
          <w:rFonts w:asciiTheme="minorHAnsi" w:hAnsiTheme="minorHAnsi"/>
          <w:szCs w:val="24"/>
        </w:rPr>
        <w:t xml:space="preserve"> </w:t>
      </w:r>
      <w:proofErr w:type="spellStart"/>
      <w:r w:rsidRPr="00141AE8">
        <w:rPr>
          <w:rFonts w:asciiTheme="minorHAnsi" w:hAnsiTheme="minorHAnsi"/>
          <w:szCs w:val="24"/>
        </w:rPr>
        <w:t>Palevol</w:t>
      </w:r>
      <w:proofErr w:type="spellEnd"/>
      <w:r w:rsidRPr="00141AE8">
        <w:rPr>
          <w:rFonts w:asciiTheme="minorHAnsi" w:hAnsiTheme="minorHAnsi"/>
          <w:szCs w:val="24"/>
        </w:rPr>
        <w:t>.</w:t>
      </w:r>
    </w:p>
    <w:p w:rsidR="006913B8" w:rsidRPr="00141AE8" w:rsidRDefault="006913B8" w:rsidP="006913B8">
      <w:pPr>
        <w:spacing w:line="360" w:lineRule="auto"/>
        <w:ind w:left="360" w:hanging="360"/>
        <w:jc w:val="both"/>
        <w:rPr>
          <w:rFonts w:asciiTheme="minorHAnsi" w:hAnsiTheme="minorHAnsi"/>
          <w:szCs w:val="24"/>
        </w:rPr>
      </w:pPr>
      <w:proofErr w:type="gramStart"/>
      <w:r w:rsidRPr="00141AE8">
        <w:rPr>
          <w:rFonts w:asciiTheme="minorHAnsi" w:hAnsiTheme="minorHAnsi"/>
          <w:szCs w:val="24"/>
        </w:rPr>
        <w:t>Stock, J.T. 2002.</w:t>
      </w:r>
      <w:proofErr w:type="gramEnd"/>
      <w:r w:rsidRPr="00141AE8">
        <w:rPr>
          <w:rFonts w:asciiTheme="minorHAnsi" w:hAnsiTheme="minorHAnsi"/>
          <w:szCs w:val="24"/>
        </w:rPr>
        <w:t xml:space="preserve"> A test of two methods of </w:t>
      </w:r>
      <w:proofErr w:type="spellStart"/>
      <w:r w:rsidRPr="00141AE8">
        <w:rPr>
          <w:rFonts w:asciiTheme="minorHAnsi" w:hAnsiTheme="minorHAnsi"/>
          <w:szCs w:val="24"/>
        </w:rPr>
        <w:t>radiographically</w:t>
      </w:r>
      <w:proofErr w:type="spellEnd"/>
      <w:r w:rsidRPr="00141AE8">
        <w:rPr>
          <w:rFonts w:asciiTheme="minorHAnsi" w:hAnsiTheme="minorHAnsi"/>
          <w:szCs w:val="24"/>
        </w:rPr>
        <w:t xml:space="preserve"> deriving long bone cross-sectional properties compared to direct sectioning of the </w:t>
      </w:r>
      <w:proofErr w:type="spellStart"/>
      <w:r w:rsidRPr="00141AE8">
        <w:rPr>
          <w:rFonts w:asciiTheme="minorHAnsi" w:hAnsiTheme="minorHAnsi"/>
          <w:szCs w:val="24"/>
        </w:rPr>
        <w:t>diaphysis</w:t>
      </w:r>
      <w:proofErr w:type="spellEnd"/>
      <w:r w:rsidRPr="00141AE8">
        <w:rPr>
          <w:rFonts w:asciiTheme="minorHAnsi" w:hAnsiTheme="minorHAnsi"/>
          <w:szCs w:val="24"/>
        </w:rPr>
        <w:t xml:space="preserve">. Int. J. </w:t>
      </w:r>
      <w:proofErr w:type="spellStart"/>
      <w:r w:rsidRPr="00141AE8">
        <w:rPr>
          <w:rFonts w:asciiTheme="minorHAnsi" w:hAnsiTheme="minorHAnsi"/>
          <w:szCs w:val="24"/>
        </w:rPr>
        <w:t>Osteoarchaeol</w:t>
      </w:r>
      <w:proofErr w:type="spellEnd"/>
      <w:r w:rsidRPr="00141AE8">
        <w:rPr>
          <w:rFonts w:asciiTheme="minorHAnsi" w:hAnsiTheme="minorHAnsi"/>
          <w:szCs w:val="24"/>
        </w:rPr>
        <w:t>. 12, 335-342.</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Trinkaus, E., Churchill, S.E., Ruff, C.B. 1994. Postcranial </w:t>
      </w:r>
      <w:proofErr w:type="spellStart"/>
      <w:r w:rsidRPr="00141AE8">
        <w:rPr>
          <w:rFonts w:asciiTheme="minorHAnsi" w:hAnsiTheme="minorHAnsi"/>
          <w:szCs w:val="24"/>
        </w:rPr>
        <w:t>robusticity</w:t>
      </w:r>
      <w:proofErr w:type="spellEnd"/>
      <w:r w:rsidRPr="00141AE8">
        <w:rPr>
          <w:rFonts w:asciiTheme="minorHAnsi" w:hAnsiTheme="minorHAnsi"/>
          <w:szCs w:val="24"/>
        </w:rPr>
        <w:t xml:space="preserve"> in Homo, II: Humeral bilateral asymmetry and bone plasticity. Am. J. Phys. </w:t>
      </w:r>
      <w:proofErr w:type="spellStart"/>
      <w:r w:rsidRPr="00141AE8">
        <w:rPr>
          <w:rFonts w:asciiTheme="minorHAnsi" w:hAnsiTheme="minorHAnsi"/>
          <w:szCs w:val="24"/>
        </w:rPr>
        <w:t>Anthropol</w:t>
      </w:r>
      <w:proofErr w:type="spellEnd"/>
      <w:r w:rsidRPr="00141AE8">
        <w:rPr>
          <w:rFonts w:asciiTheme="minorHAnsi" w:hAnsiTheme="minorHAnsi"/>
          <w:szCs w:val="24"/>
        </w:rPr>
        <w:t>. 93, 1-34.</w:t>
      </w:r>
    </w:p>
    <w:p w:rsidR="006913B8" w:rsidRPr="00141AE8" w:rsidRDefault="006913B8" w:rsidP="006913B8">
      <w:pPr>
        <w:spacing w:line="360" w:lineRule="auto"/>
        <w:ind w:left="360" w:hanging="360"/>
        <w:jc w:val="both"/>
        <w:rPr>
          <w:rFonts w:asciiTheme="minorHAnsi" w:hAnsiTheme="minorHAnsi"/>
          <w:szCs w:val="24"/>
        </w:rPr>
      </w:pPr>
      <w:r w:rsidRPr="00141AE8">
        <w:rPr>
          <w:rFonts w:asciiTheme="minorHAnsi" w:hAnsiTheme="minorHAnsi"/>
          <w:szCs w:val="24"/>
        </w:rPr>
        <w:t xml:space="preserve">Trinkaus, E., Ruff, C.B., 2012. </w:t>
      </w:r>
      <w:proofErr w:type="gramStart"/>
      <w:r w:rsidRPr="00141AE8">
        <w:rPr>
          <w:rFonts w:asciiTheme="minorHAnsi" w:hAnsiTheme="minorHAnsi"/>
          <w:szCs w:val="24"/>
        </w:rPr>
        <w:t xml:space="preserve">Femoral and </w:t>
      </w:r>
      <w:proofErr w:type="spellStart"/>
      <w:r w:rsidRPr="00141AE8">
        <w:rPr>
          <w:rFonts w:asciiTheme="minorHAnsi" w:hAnsiTheme="minorHAnsi"/>
          <w:szCs w:val="24"/>
        </w:rPr>
        <w:t>Tibial</w:t>
      </w:r>
      <w:proofErr w:type="spellEnd"/>
      <w:r w:rsidRPr="00141AE8">
        <w:rPr>
          <w:rFonts w:asciiTheme="minorHAnsi" w:hAnsiTheme="minorHAnsi"/>
          <w:szCs w:val="24"/>
        </w:rPr>
        <w:t xml:space="preserve"> </w:t>
      </w:r>
      <w:proofErr w:type="spellStart"/>
      <w:r w:rsidRPr="00141AE8">
        <w:rPr>
          <w:rFonts w:asciiTheme="minorHAnsi" w:hAnsiTheme="minorHAnsi"/>
          <w:szCs w:val="24"/>
        </w:rPr>
        <w:t>Diaphyseal</w:t>
      </w:r>
      <w:proofErr w:type="spellEnd"/>
      <w:r w:rsidRPr="00141AE8">
        <w:rPr>
          <w:rFonts w:asciiTheme="minorHAnsi" w:hAnsiTheme="minorHAnsi"/>
          <w:szCs w:val="24"/>
        </w:rPr>
        <w:t xml:space="preserve"> Cross-Sectional Geometry in Pleistocene Homo.</w:t>
      </w:r>
      <w:proofErr w:type="gramEnd"/>
      <w:r w:rsidRPr="00141AE8">
        <w:rPr>
          <w:rFonts w:asciiTheme="minorHAnsi" w:hAnsiTheme="minorHAnsi"/>
          <w:szCs w:val="24"/>
        </w:rPr>
        <w:t xml:space="preserve"> </w:t>
      </w:r>
      <w:proofErr w:type="spellStart"/>
      <w:r w:rsidRPr="00141AE8">
        <w:rPr>
          <w:rFonts w:asciiTheme="minorHAnsi" w:hAnsiTheme="minorHAnsi"/>
          <w:szCs w:val="24"/>
        </w:rPr>
        <w:t>PaleoAnthropology</w:t>
      </w:r>
      <w:proofErr w:type="spellEnd"/>
      <w:r w:rsidRPr="00141AE8">
        <w:rPr>
          <w:rFonts w:asciiTheme="minorHAnsi" w:hAnsiTheme="minorHAnsi"/>
          <w:szCs w:val="24"/>
        </w:rPr>
        <w:t>, 13-62.</w:t>
      </w:r>
    </w:p>
    <w:p w:rsidR="00CB07FF" w:rsidRPr="00141AE8" w:rsidRDefault="00CB07FF" w:rsidP="006913B8">
      <w:pPr>
        <w:spacing w:line="360" w:lineRule="auto"/>
        <w:jc w:val="both"/>
        <w:rPr>
          <w:rFonts w:asciiTheme="minorHAnsi" w:hAnsiTheme="minorHAnsi"/>
          <w:szCs w:val="24"/>
        </w:rPr>
      </w:pPr>
    </w:p>
    <w:sectPr w:rsidR="00CB07FF" w:rsidRPr="00141AE8" w:rsidSect="00CB07F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6913B8"/>
    <w:rsid w:val="00141AE8"/>
    <w:rsid w:val="001F2E75"/>
    <w:rsid w:val="00241417"/>
    <w:rsid w:val="003E4E72"/>
    <w:rsid w:val="006913B8"/>
    <w:rsid w:val="006D739C"/>
    <w:rsid w:val="006F3F9E"/>
    <w:rsid w:val="00950FDD"/>
    <w:rsid w:val="00CB07FF"/>
    <w:rsid w:val="00FA052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3B8"/>
    <w:pPr>
      <w:spacing w:after="0" w:line="240" w:lineRule="auto"/>
    </w:pPr>
    <w:rPr>
      <w:rFonts w:ascii="Times New Roman" w:eastAsia="Calibri" w:hAnsi="Times New Roman" w:cs="Times New Roman"/>
      <w:sz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913B8"/>
    <w:rPr>
      <w:rFonts w:ascii="Tahoma" w:hAnsi="Tahoma" w:cs="Tahoma"/>
      <w:sz w:val="16"/>
      <w:szCs w:val="16"/>
    </w:rPr>
  </w:style>
  <w:style w:type="character" w:customStyle="1" w:styleId="TextedebullesCar">
    <w:name w:val="Texte de bulles Car"/>
    <w:basedOn w:val="Policepardfaut"/>
    <w:link w:val="Textedebulles"/>
    <w:uiPriority w:val="99"/>
    <w:semiHidden/>
    <w:rsid w:val="006913B8"/>
    <w:rPr>
      <w:rFonts w:ascii="Tahoma" w:eastAsia="Calibri"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tif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tiff"/><Relationship Id="rId5" Type="http://schemas.openxmlformats.org/officeDocument/2006/relationships/image" Target="media/image2.tiff"/><Relationship Id="rId4" Type="http://schemas.openxmlformats.org/officeDocument/2006/relationships/image" Target="media/image1.tiff"/><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1946</Words>
  <Characters>10708</Characters>
  <Application>Microsoft Office Word</Application>
  <DocSecurity>0</DocSecurity>
  <Lines>89</Lines>
  <Paragraphs>25</Paragraphs>
  <ScaleCrop>false</ScaleCrop>
  <Company>Microsoft</Company>
  <LinksUpToDate>false</LinksUpToDate>
  <CharactersWithSpaces>12629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s.villotte</dc:creator>
  <cp:lastModifiedBy>s.villotte</cp:lastModifiedBy>
  <cp:revision>2</cp:revision>
  <dcterms:created xsi:type="dcterms:W3CDTF">2016-09-26T16:48:00Z</dcterms:created>
  <dcterms:modified xsi:type="dcterms:W3CDTF">2016-09-26T16:48:00Z</dcterms:modified>
</cp:coreProperties>
</file>